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DC04" w14:textId="77777777" w:rsidR="00185F97" w:rsidRDefault="00167EA8" w:rsidP="00ED217B">
      <w:pPr>
        <w:jc w:val="center"/>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عقوبة الإعدام في القانون الليبي والشريعة الإسلامية </w:t>
      </w:r>
    </w:p>
    <w:p w14:paraId="581186A1" w14:textId="77777777" w:rsidR="00167EA8" w:rsidRPr="00167EA8" w:rsidRDefault="00167EA8" w:rsidP="00167EA8">
      <w:pPr>
        <w:jc w:val="center"/>
        <w:rPr>
          <w:rFonts w:ascii="Traditional Arabic" w:hAnsi="Traditional Arabic" w:cs="Traditional Arabic"/>
          <w:b/>
          <w:bCs/>
          <w:sz w:val="36"/>
          <w:szCs w:val="36"/>
          <w:rtl/>
          <w:lang w:bidi="ar-EG"/>
        </w:rPr>
      </w:pPr>
      <w:r w:rsidRPr="00167EA8">
        <w:rPr>
          <w:rFonts w:ascii="Traditional Arabic" w:hAnsi="Traditional Arabic" w:cs="Traditional Arabic" w:hint="cs"/>
          <w:b/>
          <w:bCs/>
          <w:sz w:val="36"/>
          <w:szCs w:val="36"/>
          <w:rtl/>
          <w:lang w:bidi="ar-EG"/>
        </w:rPr>
        <w:t>ملخص الدراسة</w:t>
      </w:r>
    </w:p>
    <w:p w14:paraId="3366A99A" w14:textId="77777777" w:rsidR="00167EA8" w:rsidRPr="00167EA8" w:rsidRDefault="00167EA8" w:rsidP="00F02E42">
      <w:pPr>
        <w:jc w:val="both"/>
        <w:rPr>
          <w:rFonts w:ascii="Traditional Arabic" w:hAnsi="Traditional Arabic" w:cs="Traditional Arabic"/>
          <w:sz w:val="36"/>
          <w:szCs w:val="36"/>
          <w:rtl/>
          <w:lang w:bidi="ar-EG"/>
        </w:rPr>
      </w:pPr>
      <w:r w:rsidRPr="00167EA8">
        <w:rPr>
          <w:rFonts w:ascii="Traditional Arabic" w:hAnsi="Traditional Arabic" w:cs="Traditional Arabic" w:hint="cs"/>
          <w:sz w:val="36"/>
          <w:szCs w:val="36"/>
          <w:rtl/>
          <w:lang w:bidi="ar-EG"/>
        </w:rPr>
        <w:t xml:space="preserve">تهدف الدراسة إلى التعرف على </w:t>
      </w:r>
      <w:r w:rsidR="00185F97">
        <w:rPr>
          <w:rFonts w:ascii="Traditional Arabic" w:hAnsi="Traditional Arabic" w:cs="Traditional Arabic" w:hint="cs"/>
          <w:sz w:val="36"/>
          <w:szCs w:val="36"/>
          <w:rtl/>
          <w:lang w:bidi="ar-EG"/>
        </w:rPr>
        <w:t>مفهوم عقوبة الإعدام واستكشاف الحالات التي يجب الحكم فيها بالإعدام</w:t>
      </w:r>
      <w:r w:rsidRPr="00167EA8">
        <w:rPr>
          <w:rFonts w:ascii="Traditional Arabic" w:hAnsi="Traditional Arabic" w:cs="Traditional Arabic" w:hint="cs"/>
          <w:sz w:val="36"/>
          <w:szCs w:val="36"/>
          <w:rtl/>
          <w:lang w:bidi="ar-EG"/>
        </w:rPr>
        <w:t xml:space="preserve">. وتكمن مشكلة الدراسة إلى استناد القانون الليبي في نصوصه إلى الشريعة الإسلامية. وتبرز أهمية الدراسة في تسليط الضوء على </w:t>
      </w:r>
      <w:r>
        <w:rPr>
          <w:rFonts w:ascii="Traditional Arabic" w:hAnsi="Traditional Arabic" w:cs="Traditional Arabic" w:hint="cs"/>
          <w:sz w:val="36"/>
          <w:szCs w:val="36"/>
          <w:rtl/>
          <w:lang w:bidi="ar-EG"/>
        </w:rPr>
        <w:t xml:space="preserve">نصوص القانون الليبي والشريعة الإسلامية. واتبعت الدراسة المنهج الإستقرائي لإستقراء نصوص الشريعة الإسلامية والقانون الليبي. </w:t>
      </w:r>
      <w:r w:rsidR="00185F97">
        <w:rPr>
          <w:rFonts w:ascii="Traditional Arabic" w:hAnsi="Traditional Arabic" w:cs="Traditional Arabic" w:hint="cs"/>
          <w:sz w:val="36"/>
          <w:szCs w:val="36"/>
          <w:rtl/>
          <w:lang w:bidi="ar-EG"/>
        </w:rPr>
        <w:t>كما اتبعت المنهج التحليلي لتحليل نصوص القانون الليبي في تطبيق عقوبة الإعدام. ولقد توصلت الدراسة إلى العديد من النتائج من بينها أن الشريعة الإسلامية هي المصدر الرئيسي للتشريع. كما أن القانون الليبي لايمكنها أن تتخلى عن تطبيق عن تطبيق عقوبة الإعدام في</w:t>
      </w:r>
      <w:bookmarkStart w:id="0" w:name="_GoBack"/>
      <w:bookmarkEnd w:id="0"/>
      <w:r w:rsidR="00185F97">
        <w:rPr>
          <w:rFonts w:ascii="Traditional Arabic" w:hAnsi="Traditional Arabic" w:cs="Traditional Arabic" w:hint="cs"/>
          <w:sz w:val="36"/>
          <w:szCs w:val="36"/>
          <w:rtl/>
          <w:lang w:bidi="ar-EG"/>
        </w:rPr>
        <w:t xml:space="preserve"> نظامها العقابي. ولقد أوصت الدراسة بضرورة </w:t>
      </w:r>
      <w:r w:rsidR="00F02E42">
        <w:rPr>
          <w:rFonts w:ascii="Traditional Arabic" w:hAnsi="Traditional Arabic" w:cs="Traditional Arabic" w:hint="cs"/>
          <w:sz w:val="36"/>
          <w:szCs w:val="36"/>
          <w:rtl/>
          <w:lang w:bidi="ar-EG"/>
        </w:rPr>
        <w:t>إعادة تبويب وتصنيف القانون الليبي بما يسمح من توضيح نصوص القانون الليبي في عقوبة الإعدام.</w:t>
      </w:r>
      <w:r w:rsidR="00185F97">
        <w:rPr>
          <w:rFonts w:ascii="Traditional Arabic" w:hAnsi="Traditional Arabic" w:cs="Traditional Arabic" w:hint="cs"/>
          <w:sz w:val="36"/>
          <w:szCs w:val="36"/>
          <w:rtl/>
          <w:lang w:bidi="ar-EG"/>
        </w:rPr>
        <w:t xml:space="preserve"> </w:t>
      </w:r>
    </w:p>
    <w:p w14:paraId="04854DFE" w14:textId="77777777" w:rsidR="00025BB9" w:rsidRDefault="00185F97" w:rsidP="00025BB9">
      <w:pPr>
        <w:jc w:val="both"/>
        <w:rPr>
          <w:rFonts w:ascii="Traditional Arabic" w:hAnsi="Traditional Arabic" w:cs="Traditional Arabic"/>
          <w:sz w:val="36"/>
          <w:szCs w:val="36"/>
          <w:lang w:bidi="ar-EG"/>
        </w:rPr>
      </w:pPr>
      <w:r>
        <w:rPr>
          <w:rFonts w:ascii="Traditional Arabic" w:hAnsi="Traditional Arabic" w:cs="Traditional Arabic" w:hint="cs"/>
          <w:b/>
          <w:bCs/>
          <w:sz w:val="36"/>
          <w:szCs w:val="36"/>
          <w:rtl/>
          <w:lang w:bidi="ar-EG"/>
        </w:rPr>
        <w:t xml:space="preserve">الكلمات المفتاحية: </w:t>
      </w:r>
      <w:r w:rsidRPr="00185F97">
        <w:rPr>
          <w:rFonts w:ascii="Traditional Arabic" w:hAnsi="Traditional Arabic" w:cs="Traditional Arabic" w:hint="cs"/>
          <w:sz w:val="36"/>
          <w:szCs w:val="36"/>
          <w:rtl/>
          <w:lang w:bidi="ar-EG"/>
        </w:rPr>
        <w:t>عقوبة الإعدام، القانون الليبي، الشريعة الإسلامية، المنظمات الدولية</w:t>
      </w:r>
    </w:p>
    <w:p w14:paraId="090DC2F9" w14:textId="77777777" w:rsidR="00ED217B" w:rsidRDefault="00ED217B" w:rsidP="00025BB9">
      <w:pPr>
        <w:jc w:val="both"/>
        <w:rPr>
          <w:rFonts w:ascii="Traditional Arabic" w:hAnsi="Traditional Arabic" w:cs="Traditional Arabic"/>
          <w:sz w:val="36"/>
          <w:szCs w:val="36"/>
          <w:lang w:bidi="ar-EG"/>
        </w:rPr>
      </w:pPr>
    </w:p>
    <w:p w14:paraId="6FFD78AF" w14:textId="77777777" w:rsidR="00ED217B" w:rsidRPr="000706F7" w:rsidRDefault="00ED217B" w:rsidP="00ED217B">
      <w:pPr>
        <w:jc w:val="center"/>
        <w:rPr>
          <w:rFonts w:asciiTheme="majorBidi" w:hAnsiTheme="majorBidi" w:cstheme="majorBidi"/>
          <w:b/>
          <w:bCs/>
          <w:sz w:val="36"/>
          <w:szCs w:val="36"/>
          <w:lang w:bidi="ar-EG"/>
        </w:rPr>
      </w:pPr>
      <w:r w:rsidRPr="000706F7">
        <w:rPr>
          <w:rFonts w:asciiTheme="majorBidi" w:hAnsiTheme="majorBidi" w:cstheme="majorBidi"/>
          <w:b/>
          <w:bCs/>
          <w:sz w:val="28"/>
          <w:szCs w:val="28"/>
          <w:lang w:bidi="ar-EG"/>
        </w:rPr>
        <w:t>ABSTRACT</w:t>
      </w:r>
    </w:p>
    <w:p w14:paraId="6B47F7B7" w14:textId="77777777" w:rsidR="00616157" w:rsidRPr="00616157" w:rsidRDefault="00616157" w:rsidP="00616157">
      <w:pPr>
        <w:bidi w:val="0"/>
        <w:jc w:val="both"/>
        <w:rPr>
          <w:rFonts w:asciiTheme="majorBidi" w:hAnsiTheme="majorBidi" w:cstheme="majorBidi"/>
        </w:rPr>
      </w:pPr>
      <w:r w:rsidRPr="00616157">
        <w:rPr>
          <w:rFonts w:asciiTheme="majorBidi" w:hAnsiTheme="majorBidi" w:cstheme="majorBidi"/>
          <w:color w:val="0E101A"/>
        </w:rPr>
        <w:t>The purpose of the study is to determine the idea of the death penalty and research of the cases where the death sentence might be regulated. The predicament of the research, the Libyan law is based on the Islamic Shariah law, so it relies on the information according to Shariah. So, it signified both the Libyan law and Islamic Shariah. The research also recognized the systematic procedure to analyze the topics of the Libyan law about the execution of the death penalty. The study resolved from the conclusions that the Shariah is the main source of authorization to legalize the death penalty in the Libyan regulatory system. The study also revealed that the death penalty in Libya is under penal law so there is no possibility to surrender once the death penalty is legalized by the court. So, the study recommends that the Libyan law is required to amend in regards to the death sentence. </w:t>
      </w:r>
    </w:p>
    <w:p w14:paraId="62E5EC2E" w14:textId="77777777" w:rsidR="00ED217B" w:rsidRPr="000563CB" w:rsidRDefault="00ED217B" w:rsidP="00ED217B">
      <w:pPr>
        <w:bidi w:val="0"/>
        <w:jc w:val="both"/>
        <w:rPr>
          <w:rFonts w:asciiTheme="majorBidi" w:hAnsiTheme="majorBidi" w:cstheme="majorBidi"/>
          <w:lang w:bidi="ar-EG"/>
        </w:rPr>
      </w:pPr>
      <w:r w:rsidRPr="000706F7">
        <w:rPr>
          <w:rFonts w:asciiTheme="majorBidi" w:hAnsiTheme="majorBidi" w:cstheme="majorBidi"/>
          <w:b/>
          <w:bCs/>
          <w:lang w:bidi="ar-EG"/>
        </w:rPr>
        <w:t xml:space="preserve">Keywords: </w:t>
      </w:r>
      <w:r w:rsidRPr="000706F7">
        <w:rPr>
          <w:rFonts w:asciiTheme="majorBidi" w:hAnsiTheme="majorBidi" w:cstheme="majorBidi"/>
          <w:lang w:bidi="ar-EG"/>
        </w:rPr>
        <w:t>Death penalty, Libyan law, Islamic Shariah, International Organizations.</w:t>
      </w:r>
    </w:p>
    <w:p w14:paraId="29A27B13" w14:textId="35EC9850" w:rsidR="00ED217B" w:rsidRDefault="00ED217B" w:rsidP="00025BB9">
      <w:pPr>
        <w:jc w:val="both"/>
        <w:rPr>
          <w:rFonts w:ascii="Traditional Arabic" w:hAnsi="Traditional Arabic" w:cs="Traditional Arabic"/>
          <w:sz w:val="36"/>
          <w:szCs w:val="36"/>
          <w:rtl/>
          <w:lang w:bidi="ar-EG"/>
        </w:rPr>
      </w:pPr>
    </w:p>
    <w:p w14:paraId="509C0AA1" w14:textId="77777777" w:rsidR="00D0172C" w:rsidRPr="00D0172C" w:rsidRDefault="00D0172C" w:rsidP="00025BB9">
      <w:pPr>
        <w:jc w:val="both"/>
        <w:rPr>
          <w:rFonts w:ascii="Traditional Arabic" w:hAnsi="Traditional Arabic" w:cs="Traditional Arabic"/>
          <w:sz w:val="36"/>
          <w:szCs w:val="36"/>
          <w:rtl/>
          <w:lang w:bidi="ar-EG"/>
        </w:rPr>
      </w:pPr>
    </w:p>
    <w:p w14:paraId="595863FD" w14:textId="77777777" w:rsidR="00167EA8" w:rsidRPr="00167EA8" w:rsidRDefault="00167EA8" w:rsidP="00167EA8">
      <w:pPr>
        <w:jc w:val="both"/>
        <w:rPr>
          <w:rFonts w:ascii="Traditional Arabic" w:hAnsi="Traditional Arabic" w:cs="Traditional Arabic"/>
          <w:b/>
          <w:bCs/>
          <w:sz w:val="36"/>
          <w:szCs w:val="36"/>
          <w:rtl/>
          <w:lang w:bidi="ar-EG"/>
        </w:rPr>
      </w:pPr>
      <w:r w:rsidRPr="00167EA8">
        <w:rPr>
          <w:rFonts w:ascii="Traditional Arabic" w:hAnsi="Traditional Arabic" w:cs="Traditional Arabic" w:hint="cs"/>
          <w:b/>
          <w:bCs/>
          <w:sz w:val="36"/>
          <w:szCs w:val="36"/>
          <w:rtl/>
          <w:lang w:bidi="ar-EG"/>
        </w:rPr>
        <w:t>المقدمة</w:t>
      </w:r>
    </w:p>
    <w:p w14:paraId="2F00C3D1" w14:textId="77777777" w:rsidR="00632BF0" w:rsidRDefault="00632BF0" w:rsidP="00632BF0">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يعتبر موضوع عقوبة الإعدام من أبرز الموضوعات التي عنيت بها  أغلب الشرائع السماوية والقوانين الوضعية قديماً وحديثاً. وموضوع عقوبة الإعدام من أهم الموضوعات التي شغلت العديد من المشرعيين </w:t>
      </w:r>
      <w:r>
        <w:rPr>
          <w:rFonts w:ascii="Traditional Arabic" w:hAnsi="Traditional Arabic" w:cs="Traditional Arabic" w:hint="cs"/>
          <w:sz w:val="36"/>
          <w:szCs w:val="36"/>
          <w:rtl/>
          <w:lang w:bidi="ar-EG"/>
        </w:rPr>
        <w:lastRenderedPageBreak/>
        <w:t xml:space="preserve">والقانونيين على مدار التاريخ، ومنذ بداية الخليقه وحتي يومنا هذا ترتكب الجرائم الموجبه لعقوبة الإعدام، كما أن الحضارات الرومانية واليونانية القديمة كانت تطبق عقوبة الإعدام لكل من ارتكب الجرائم التي تستوجب تطبيق عقوبة الإعدام. ولقد اعترفت التقانين الآشورية القديمة وتقنين حمورابي بعقوبة الإعدام جزاء لمن ارتكب جرائم القتل عمداً. وبعد نزول الشرائع السماوية التي أكدت على تطبيق عقوبة الإعدام لكل من ارتكب الجرائم التي تستوجب تطييق عقوبة الإعدام، فالعقيدة اليهودية أشارت بأن عقوبة الإعدام مطبقه في المجتمع، كما أن العقيدة المسيحية أكدت تطبيق عقوبة الإعدام على مرتكبي الجرائم الموجبة لتطبيق عقوبة الإعدام في المجتمع. ومن المؤكد أن الإسلام قد أقر أنه يجب التأكد من الشهود والإقرار بإرتكاب الجرائم الموجبة لتطبيق عقوبة الإعدام. كما أن عقوبة الإعدام في الشريعة الإسلامية تحقق الزجر العام لكل من تسول له نفسه ارتكاب الجرائم بحق الآخرين دون وجهة حق، وبالتالي فإن تطبيق عقوبة الإعدام من وجهة نظر الشريعة تحقق مقاصد الشريعة الإسلامية من أجل الحفاظ على السلم والأمن الإجتماعي للمجتمع. كما أن رغبة الشريعة الإسلامية في تطبيق عقوبة الإعدام يأتي أيضاً قصاصاً لمن ارتكب جرائم القتل العمد، وتعزيراً لمن ارتكب الجرم الذي يستحق إنزال عقوبة التعزير. ومن الجدير بالذكر أن أحكام الشريعة الإسلامية تحتوي بشكل مفصل على الجرائم والعقوبات، كما أن السنة النبوية المطهرة تحتوي على مزيد من الأحاديث التي تدل على طبيعة الجرائم التي تطبق فيها عقوبة الإعدام، وكذلك فإن آراء العلماء والفقهاء قد أوضحت بشكل عميق طبيعة الجرائم والعقوبات والحدود الشرعية. </w:t>
      </w:r>
    </w:p>
    <w:p w14:paraId="4B64F9C6" w14:textId="77777777" w:rsidR="00167EA8" w:rsidRDefault="00632BF0" w:rsidP="00185F97">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وبالتالي فإن هذه الورقة سوف تتناول عقوبة الإعدام بين القانون الليبي والشريعة الإسلامية، حيث تكشف الورقة عن مفهوم عقوبة الإعدام في اللغة والإصطلاح، كما تتناول الورقة الجرائم التي تستلزم تطبيق عقوبة الإعدام ونصوص قانون العقوبات الليبي وقانون القصاص والدية بشأن تطبيق عقوبة الإعدام، ويتناول البحث بشكل مفصل الجرائم العقوبات والحدود الواجب تطبيقها في حال ارتكاب احدي الجرائم التي تستلزم تطبيق عقوبة الإعدام. </w:t>
      </w:r>
      <w:r w:rsidR="00167EA8">
        <w:rPr>
          <w:rFonts w:ascii="Traditional Arabic" w:hAnsi="Traditional Arabic" w:cs="Traditional Arabic" w:hint="cs"/>
          <w:sz w:val="36"/>
          <w:szCs w:val="36"/>
          <w:rtl/>
          <w:lang w:bidi="ar-EG"/>
        </w:rPr>
        <w:t xml:space="preserve"> </w:t>
      </w:r>
    </w:p>
    <w:p w14:paraId="7BCEFA64" w14:textId="77777777" w:rsidR="00632BF0" w:rsidRDefault="00632BF0" w:rsidP="00185F97">
      <w:pPr>
        <w:ind w:firstLine="720"/>
        <w:jc w:val="both"/>
        <w:rPr>
          <w:rFonts w:ascii="Traditional Arabic" w:hAnsi="Traditional Arabic" w:cs="Traditional Arabic"/>
          <w:sz w:val="36"/>
          <w:szCs w:val="36"/>
          <w:rtl/>
          <w:lang w:bidi="ar-EG"/>
        </w:rPr>
      </w:pPr>
    </w:p>
    <w:p w14:paraId="4E68C9E2" w14:textId="77777777" w:rsidR="00185F97" w:rsidRDefault="00185F97" w:rsidP="00185F97">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إشكالية البحث </w:t>
      </w:r>
    </w:p>
    <w:p w14:paraId="2515D12C" w14:textId="77777777" w:rsidR="005712EB" w:rsidRDefault="005712EB" w:rsidP="005712EB">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تكمن إشكالية البحث في محاولة توضيح وجهة النظر الليبية من تطبيق عقوبة الإعدام في النظام العقابي المعمول به وفقاً للشريعة الإسلامية واستناداً لنصوص قانون العقوبات وقانون القصاص والدية المطبق في ليبيا.</w:t>
      </w:r>
    </w:p>
    <w:p w14:paraId="5106584E" w14:textId="77777777" w:rsidR="00BA188C" w:rsidRDefault="00BA188C" w:rsidP="005712EB">
      <w:pPr>
        <w:ind w:firstLine="720"/>
        <w:jc w:val="both"/>
        <w:rPr>
          <w:rFonts w:ascii="Traditional Arabic" w:hAnsi="Traditional Arabic" w:cs="Traditional Arabic"/>
          <w:sz w:val="36"/>
          <w:szCs w:val="36"/>
          <w:lang w:bidi="ar-EG"/>
        </w:rPr>
      </w:pPr>
    </w:p>
    <w:p w14:paraId="7B768192" w14:textId="77777777" w:rsidR="00632BF0" w:rsidRDefault="00632BF0" w:rsidP="00632BF0">
      <w:pPr>
        <w:jc w:val="both"/>
        <w:rPr>
          <w:rFonts w:ascii="Traditional Arabic" w:hAnsi="Traditional Arabic" w:cs="Traditional Arabic"/>
          <w:b/>
          <w:bCs/>
          <w:sz w:val="36"/>
          <w:szCs w:val="36"/>
          <w:rtl/>
          <w:lang w:bidi="ar-EG"/>
        </w:rPr>
      </w:pPr>
      <w:r w:rsidRPr="00632BF0">
        <w:rPr>
          <w:rFonts w:ascii="Traditional Arabic" w:hAnsi="Traditional Arabic" w:cs="Traditional Arabic" w:hint="cs"/>
          <w:b/>
          <w:bCs/>
          <w:sz w:val="36"/>
          <w:szCs w:val="36"/>
          <w:rtl/>
          <w:lang w:bidi="ar-EG"/>
        </w:rPr>
        <w:t>أسئلة الدراسة</w:t>
      </w:r>
    </w:p>
    <w:p w14:paraId="0C55CB0F" w14:textId="77777777" w:rsidR="00BA188C" w:rsidRPr="00BA188C" w:rsidRDefault="00BA188C" w:rsidP="00632BF0">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يمكن تلخيص أسئلة الدراسة في العديد من التساؤلات التالية:</w:t>
      </w:r>
    </w:p>
    <w:p w14:paraId="525BAC3B" w14:textId="77777777" w:rsidR="00185F97" w:rsidRPr="00BA188C" w:rsidRDefault="00632BF0" w:rsidP="00632BF0">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1.</w:t>
      </w:r>
      <w:r w:rsidR="00185F97" w:rsidRPr="00BA188C">
        <w:rPr>
          <w:rFonts w:ascii="Traditional Arabic" w:hAnsi="Traditional Arabic" w:cs="Traditional Arabic" w:hint="cs"/>
          <w:sz w:val="36"/>
          <w:szCs w:val="36"/>
          <w:rtl/>
          <w:lang w:bidi="ar-EG"/>
        </w:rPr>
        <w:t>مامفهوم عقوبة الإعدام في القانون الليبي والشريعة الإسلامية؟</w:t>
      </w:r>
    </w:p>
    <w:p w14:paraId="21EB2C9A" w14:textId="77777777" w:rsidR="00BA188C" w:rsidRDefault="00BA188C" w:rsidP="00632BF0">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2.ما الجرائم التي تستلزم تطبيق عقوبة الإعدام في القانون الليبي والشريعة الإسلامية</w:t>
      </w:r>
      <w:r>
        <w:rPr>
          <w:rFonts w:ascii="Traditional Arabic" w:hAnsi="Traditional Arabic" w:cs="Traditional Arabic" w:hint="cs"/>
          <w:sz w:val="36"/>
          <w:szCs w:val="36"/>
          <w:rtl/>
          <w:lang w:bidi="ar-EG"/>
        </w:rPr>
        <w:t>؟</w:t>
      </w:r>
    </w:p>
    <w:p w14:paraId="561AC944" w14:textId="77777777" w:rsidR="00BA188C" w:rsidRPr="00BA188C" w:rsidRDefault="00BA188C" w:rsidP="00632BF0">
      <w:pPr>
        <w:jc w:val="both"/>
        <w:rPr>
          <w:rFonts w:ascii="Traditional Arabic" w:hAnsi="Traditional Arabic" w:cs="Traditional Arabic"/>
          <w:sz w:val="36"/>
          <w:szCs w:val="36"/>
          <w:rtl/>
          <w:lang w:bidi="ar-EG"/>
        </w:rPr>
      </w:pPr>
    </w:p>
    <w:p w14:paraId="5CA80DD1" w14:textId="77777777" w:rsidR="00BA188C" w:rsidRDefault="00BA188C" w:rsidP="00632BF0">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أهداف الدراسة</w:t>
      </w:r>
    </w:p>
    <w:p w14:paraId="3626FC25" w14:textId="77777777" w:rsidR="00BA188C" w:rsidRPr="00BA188C" w:rsidRDefault="00BA188C" w:rsidP="00632BF0">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يمكن تحديد أهداف الدراسة في العديد من الأهداف يمكن إجمالها كالتالي:</w:t>
      </w:r>
    </w:p>
    <w:p w14:paraId="10A3DC87" w14:textId="77777777" w:rsidR="00BA188C" w:rsidRPr="00BA188C" w:rsidRDefault="00BA188C" w:rsidP="00BA188C">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1.</w:t>
      </w:r>
      <w:r>
        <w:rPr>
          <w:rFonts w:ascii="Traditional Arabic" w:hAnsi="Traditional Arabic" w:cs="Traditional Arabic" w:hint="cs"/>
          <w:sz w:val="36"/>
          <w:szCs w:val="36"/>
          <w:rtl/>
          <w:lang w:bidi="ar-EG"/>
        </w:rPr>
        <w:t xml:space="preserve">تبيان </w:t>
      </w:r>
      <w:r w:rsidRPr="00BA188C">
        <w:rPr>
          <w:rFonts w:ascii="Traditional Arabic" w:hAnsi="Traditional Arabic" w:cs="Traditional Arabic" w:hint="cs"/>
          <w:sz w:val="36"/>
          <w:szCs w:val="36"/>
          <w:rtl/>
          <w:lang w:bidi="ar-EG"/>
        </w:rPr>
        <w:t>مفهوم عقوبة الإعدام في القانون الليبي والشريعة الإسلامية</w:t>
      </w:r>
      <w:r>
        <w:rPr>
          <w:rFonts w:ascii="Traditional Arabic" w:hAnsi="Traditional Arabic" w:cs="Traditional Arabic" w:hint="cs"/>
          <w:sz w:val="36"/>
          <w:szCs w:val="36"/>
          <w:rtl/>
          <w:lang w:bidi="ar-EG"/>
        </w:rPr>
        <w:t>.</w:t>
      </w:r>
    </w:p>
    <w:p w14:paraId="794FECA6" w14:textId="77777777" w:rsidR="00BA188C" w:rsidRDefault="00BA188C" w:rsidP="00BA188C">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2.ما الجرائم التي تستلزم تطبيق عقوبة الإعدام في القانون الليبي والشريعة الإسلامية</w:t>
      </w:r>
      <w:r>
        <w:rPr>
          <w:rFonts w:ascii="Traditional Arabic" w:hAnsi="Traditional Arabic" w:cs="Traditional Arabic" w:hint="cs"/>
          <w:sz w:val="36"/>
          <w:szCs w:val="36"/>
          <w:rtl/>
          <w:lang w:bidi="ar-EG"/>
        </w:rPr>
        <w:t>؟</w:t>
      </w:r>
    </w:p>
    <w:p w14:paraId="0A3692B2" w14:textId="77777777" w:rsidR="005712EB" w:rsidRPr="005712EB" w:rsidRDefault="005712EB" w:rsidP="00BA188C">
      <w:pPr>
        <w:jc w:val="both"/>
        <w:rPr>
          <w:rFonts w:ascii="Traditional Arabic" w:hAnsi="Traditional Arabic" w:cs="Traditional Arabic"/>
          <w:b/>
          <w:bCs/>
          <w:sz w:val="36"/>
          <w:szCs w:val="36"/>
          <w:rtl/>
          <w:lang w:bidi="ar-EG"/>
        </w:rPr>
      </w:pPr>
    </w:p>
    <w:p w14:paraId="6AA669D6" w14:textId="77777777" w:rsidR="00185F97" w:rsidRPr="00BC1617" w:rsidRDefault="00185F97" w:rsidP="00185F97">
      <w:pPr>
        <w:jc w:val="both"/>
        <w:rPr>
          <w:rFonts w:ascii="Traditional Arabic" w:hAnsi="Traditional Arabic" w:cs="Traditional Arabic"/>
          <w:b/>
          <w:bCs/>
          <w:sz w:val="36"/>
          <w:szCs w:val="36"/>
          <w:rtl/>
          <w:lang w:bidi="ar-EG"/>
        </w:rPr>
      </w:pPr>
      <w:r w:rsidRPr="00BC1617">
        <w:rPr>
          <w:rFonts w:ascii="Traditional Arabic" w:hAnsi="Traditional Arabic" w:cs="Traditional Arabic" w:hint="cs"/>
          <w:b/>
          <w:bCs/>
          <w:sz w:val="36"/>
          <w:szCs w:val="36"/>
          <w:rtl/>
          <w:lang w:bidi="ar-EG"/>
        </w:rPr>
        <w:t>أهمية البحث</w:t>
      </w:r>
    </w:p>
    <w:p w14:paraId="0D373945" w14:textId="77777777" w:rsidR="00185F97" w:rsidRDefault="00185F97" w:rsidP="00185F97">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تبرز أهمية البحث أهمية في الآتي:</w:t>
      </w:r>
    </w:p>
    <w:p w14:paraId="1A9CCF94" w14:textId="77777777" w:rsidR="00185F97" w:rsidRDefault="005712EB" w:rsidP="00185F97">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w:t>
      </w:r>
      <w:r w:rsidR="00185F97">
        <w:rPr>
          <w:rFonts w:ascii="Traditional Arabic" w:hAnsi="Traditional Arabic" w:cs="Traditional Arabic" w:hint="cs"/>
          <w:sz w:val="36"/>
          <w:szCs w:val="36"/>
          <w:rtl/>
          <w:lang w:bidi="ar-EG"/>
        </w:rPr>
        <w:t>.يسلط هذا البحث الضوء على نصوص القانون الليبي ومدى توافقها مع الشريعة الإسلامية بشأن تطبيق عقوبة الإعدام.</w:t>
      </w:r>
    </w:p>
    <w:p w14:paraId="42E2149D" w14:textId="5CDB7D9F" w:rsidR="00BA188C" w:rsidRDefault="005712EB" w:rsidP="00F763B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w:t>
      </w:r>
      <w:r w:rsidR="00185F97">
        <w:rPr>
          <w:rFonts w:ascii="Traditional Arabic" w:hAnsi="Traditional Arabic" w:cs="Traditional Arabic" w:hint="cs"/>
          <w:sz w:val="36"/>
          <w:szCs w:val="36"/>
          <w:rtl/>
          <w:lang w:bidi="ar-EG"/>
        </w:rPr>
        <w:t xml:space="preserve">.يمكن هذا البحث من التعرف على قدرة قانون العقوبات الليبي من الحفاظ على هيبة المجتمع وتحقيق الردع العام والإلتزام بتطبيق عقوبة الإعدام على مرتكب الجرائم المنصوص عليها في الشريعة الإسلامية وفي قانون العقوبات الليبي. </w:t>
      </w:r>
    </w:p>
    <w:p w14:paraId="763D9CB4" w14:textId="77777777" w:rsidR="00185F97" w:rsidRPr="00BC1617" w:rsidRDefault="00185F97" w:rsidP="00185F97">
      <w:pPr>
        <w:jc w:val="both"/>
        <w:rPr>
          <w:rFonts w:ascii="Traditional Arabic" w:hAnsi="Traditional Arabic" w:cs="Traditional Arabic"/>
          <w:b/>
          <w:bCs/>
          <w:sz w:val="36"/>
          <w:szCs w:val="36"/>
          <w:rtl/>
          <w:lang w:bidi="ar-EG"/>
        </w:rPr>
      </w:pPr>
      <w:r w:rsidRPr="00BC1617">
        <w:rPr>
          <w:rFonts w:ascii="Traditional Arabic" w:hAnsi="Traditional Arabic" w:cs="Traditional Arabic" w:hint="cs"/>
          <w:b/>
          <w:bCs/>
          <w:sz w:val="36"/>
          <w:szCs w:val="36"/>
          <w:rtl/>
          <w:lang w:bidi="ar-EG"/>
        </w:rPr>
        <w:t>حدود البحث</w:t>
      </w:r>
    </w:p>
    <w:p w14:paraId="34B1A525" w14:textId="77777777" w:rsidR="00185F97" w:rsidRDefault="00185F97" w:rsidP="005712EB">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 xml:space="preserve">يقوم هذا البحث بتسليط الضوء على تطبيق عقوبة وحكم الإعدام في ليبيا. ويكشف هذا البحث عن </w:t>
      </w:r>
      <w:r w:rsidR="005712EB">
        <w:rPr>
          <w:rFonts w:ascii="Traditional Arabic" w:hAnsi="Traditional Arabic" w:cs="Traditional Arabic" w:hint="cs"/>
          <w:sz w:val="36"/>
          <w:szCs w:val="36"/>
          <w:rtl/>
          <w:lang w:bidi="ar-EG"/>
        </w:rPr>
        <w:t>مدى</w:t>
      </w:r>
      <w:r>
        <w:rPr>
          <w:rFonts w:ascii="Traditional Arabic" w:hAnsi="Traditional Arabic" w:cs="Traditional Arabic" w:hint="cs"/>
          <w:sz w:val="36"/>
          <w:szCs w:val="36"/>
          <w:rtl/>
          <w:lang w:bidi="ar-EG"/>
        </w:rPr>
        <w:t xml:space="preserve"> توافق نصوص القانون الليبي مع ما ورد بخصوص عقوبة الإعدام في الشريعة الإسلامية، وكذلك التعرف على النصوص الشرعية من القرآن الكريم والسنة النبوية المطهرة وأقوال وآراء العلماء بشأن تطبيق عقوبة الإعدام</w:t>
      </w:r>
      <w:r w:rsidR="005712EB">
        <w:rPr>
          <w:rFonts w:ascii="Traditional Arabic" w:hAnsi="Traditional Arabic" w:cs="Traditional Arabic" w:hint="cs"/>
          <w:sz w:val="36"/>
          <w:szCs w:val="36"/>
          <w:rtl/>
          <w:lang w:bidi="ar-EG"/>
        </w:rPr>
        <w:t>.</w:t>
      </w:r>
    </w:p>
    <w:p w14:paraId="1E194ABE" w14:textId="77777777" w:rsidR="00BA188C" w:rsidRDefault="00BA188C" w:rsidP="005712EB">
      <w:pPr>
        <w:jc w:val="both"/>
        <w:rPr>
          <w:rFonts w:ascii="Traditional Arabic" w:hAnsi="Traditional Arabic" w:cs="Traditional Arabic"/>
          <w:sz w:val="36"/>
          <w:szCs w:val="36"/>
          <w:rtl/>
          <w:lang w:bidi="ar-EG"/>
        </w:rPr>
      </w:pPr>
    </w:p>
    <w:p w14:paraId="4B552DBE" w14:textId="77777777" w:rsidR="00BA188C" w:rsidRDefault="00BA188C" w:rsidP="00BA188C">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فرضية الدراسة </w:t>
      </w:r>
    </w:p>
    <w:p w14:paraId="1DC8C03F" w14:textId="77777777" w:rsidR="00BA188C" w:rsidRPr="00BA188C" w:rsidRDefault="00BA188C" w:rsidP="00BA188C">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يمكن اثبات الدراسة من خلال الفرضية التالية:</w:t>
      </w:r>
    </w:p>
    <w:p w14:paraId="3983EBC8" w14:textId="77777777" w:rsidR="00BA188C" w:rsidRPr="00BA188C" w:rsidRDefault="00BA188C" w:rsidP="00BA188C">
      <w:pPr>
        <w:jc w:val="both"/>
        <w:rPr>
          <w:rFonts w:ascii="Traditional Arabic" w:hAnsi="Traditional Arabic" w:cs="Traditional Arabic"/>
          <w:sz w:val="36"/>
          <w:szCs w:val="36"/>
          <w:rtl/>
          <w:lang w:bidi="ar-EG"/>
        </w:rPr>
      </w:pPr>
      <w:r w:rsidRPr="00BA188C">
        <w:rPr>
          <w:rFonts w:ascii="Traditional Arabic" w:hAnsi="Traditional Arabic" w:cs="Traditional Arabic" w:hint="cs"/>
          <w:sz w:val="36"/>
          <w:szCs w:val="36"/>
          <w:rtl/>
          <w:lang w:bidi="ar-EG"/>
        </w:rPr>
        <w:t>الجرائم التي تستلزم تطبيق عقوبة الإعدام في القانون الليبي مستمدة من الشريعة الإسلامية</w:t>
      </w:r>
    </w:p>
    <w:p w14:paraId="14F928A8" w14:textId="77777777" w:rsidR="00BA188C" w:rsidRDefault="00BA188C" w:rsidP="00185F97">
      <w:pPr>
        <w:jc w:val="both"/>
        <w:rPr>
          <w:rFonts w:ascii="Traditional Arabic" w:hAnsi="Traditional Arabic" w:cs="Traditional Arabic"/>
          <w:b/>
          <w:bCs/>
          <w:sz w:val="36"/>
          <w:szCs w:val="36"/>
          <w:rtl/>
          <w:lang w:bidi="ar-EG"/>
        </w:rPr>
      </w:pPr>
    </w:p>
    <w:p w14:paraId="35997612" w14:textId="77777777" w:rsidR="00185F97" w:rsidRPr="00674F1A" w:rsidRDefault="00185F97" w:rsidP="00185F97">
      <w:pPr>
        <w:jc w:val="both"/>
        <w:rPr>
          <w:rFonts w:ascii="Traditional Arabic" w:hAnsi="Traditional Arabic" w:cs="Traditional Arabic"/>
          <w:b/>
          <w:bCs/>
          <w:sz w:val="36"/>
          <w:szCs w:val="36"/>
          <w:rtl/>
          <w:lang w:bidi="ar-EG"/>
        </w:rPr>
      </w:pPr>
      <w:r w:rsidRPr="00674F1A">
        <w:rPr>
          <w:rFonts w:ascii="Traditional Arabic" w:hAnsi="Traditional Arabic" w:cs="Traditional Arabic" w:hint="cs"/>
          <w:b/>
          <w:bCs/>
          <w:sz w:val="36"/>
          <w:szCs w:val="36"/>
          <w:rtl/>
          <w:lang w:bidi="ar-EG"/>
        </w:rPr>
        <w:t xml:space="preserve">منهج البحث </w:t>
      </w:r>
    </w:p>
    <w:p w14:paraId="5B535D7D" w14:textId="77777777" w:rsidR="00185F97" w:rsidRDefault="00185F97" w:rsidP="00185F97">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تعتمد هذه الدراسة على المناهج التالية في هذا البحث وهي: </w:t>
      </w:r>
    </w:p>
    <w:p w14:paraId="28367328" w14:textId="77777777" w:rsidR="005712EB" w:rsidRDefault="00185F97" w:rsidP="005712EB">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w:t>
      </w:r>
      <w:r w:rsidRPr="00674F1A">
        <w:rPr>
          <w:rFonts w:ascii="Traditional Arabic" w:hAnsi="Traditional Arabic" w:cs="Traditional Arabic" w:hint="cs"/>
          <w:b/>
          <w:bCs/>
          <w:sz w:val="36"/>
          <w:szCs w:val="36"/>
          <w:rtl/>
          <w:lang w:bidi="ar-EG"/>
        </w:rPr>
        <w:t>المنهج الإستقرائي</w:t>
      </w:r>
      <w:r>
        <w:rPr>
          <w:rFonts w:ascii="Traditional Arabic" w:hAnsi="Traditional Arabic" w:cs="Traditional Arabic" w:hint="cs"/>
          <w:sz w:val="36"/>
          <w:szCs w:val="36"/>
          <w:rtl/>
          <w:lang w:bidi="ar-EG"/>
        </w:rPr>
        <w:t xml:space="preserve">: وذلك لإستقراء نصوص قانون العقوبات الليبية بشأن النصوص الخاصة </w:t>
      </w:r>
    </w:p>
    <w:p w14:paraId="4BEC8AD7" w14:textId="77777777" w:rsidR="005712EB" w:rsidRDefault="00185F97" w:rsidP="005712EB">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بتطبيق عقوبة الإعدام. كما يمكن إستقراء نصوص الشريعة</w:t>
      </w:r>
      <w:r w:rsidR="005712E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الإسلامية والقرآن الكريم والسنة النبوية </w:t>
      </w:r>
    </w:p>
    <w:p w14:paraId="4C97349E" w14:textId="77777777" w:rsidR="00185F97" w:rsidRDefault="00185F97" w:rsidP="005712EB">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المطهرة وآراء الفقهاء والعلماء وماورد في المذاهب</w:t>
      </w:r>
      <w:r w:rsidR="005712E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الفقهية الأربعة بشأن تطبيق عقوبة الإعدام. </w:t>
      </w:r>
    </w:p>
    <w:p w14:paraId="5FCA7B6C" w14:textId="77777777" w:rsidR="005712EB" w:rsidRDefault="00185F97" w:rsidP="005712EB">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w:t>
      </w:r>
      <w:r w:rsidRPr="00033B7F">
        <w:rPr>
          <w:rFonts w:ascii="Traditional Arabic" w:hAnsi="Traditional Arabic" w:cs="Traditional Arabic" w:hint="cs"/>
          <w:b/>
          <w:bCs/>
          <w:sz w:val="36"/>
          <w:szCs w:val="36"/>
          <w:rtl/>
          <w:lang w:bidi="ar-EG"/>
        </w:rPr>
        <w:t>المنهج التحليلي</w:t>
      </w:r>
      <w:r>
        <w:rPr>
          <w:rFonts w:ascii="Traditional Arabic" w:hAnsi="Traditional Arabic" w:cs="Traditional Arabic" w:hint="cs"/>
          <w:sz w:val="36"/>
          <w:szCs w:val="36"/>
          <w:rtl/>
          <w:lang w:bidi="ar-EG"/>
        </w:rPr>
        <w:t>: يستخدم المنهج التحليلي في هذا البحث لتحليل نصوص قانون</w:t>
      </w:r>
      <w:r w:rsidR="005712E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العقوبات </w:t>
      </w:r>
    </w:p>
    <w:p w14:paraId="75EDB8E5" w14:textId="77777777" w:rsidR="00185F97" w:rsidRDefault="00185F97" w:rsidP="005712EB">
      <w:pPr>
        <w:ind w:firstLine="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الليبي بشأن تطبيق عقوبة الإعدام على كل من ارتكب</w:t>
      </w:r>
      <w:r w:rsidR="005712EB">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الجرائم الخطيرة في المجتمع </w:t>
      </w:r>
    </w:p>
    <w:p w14:paraId="33DDBE54" w14:textId="6B6F262F" w:rsidR="00F763B8" w:rsidRPr="00F763B8" w:rsidRDefault="00185F97" w:rsidP="00F763B8">
      <w:pPr>
        <w:ind w:firstLine="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ab/>
      </w:r>
    </w:p>
    <w:p w14:paraId="5309C836" w14:textId="50CD5E2C" w:rsidR="00EF4C27" w:rsidRDefault="00EF4C27" w:rsidP="00EF4C27">
      <w:pPr>
        <w:jc w:val="both"/>
        <w:rPr>
          <w:rFonts w:ascii="Traditional Arabic" w:hAnsi="Traditional Arabic" w:cs="Traditional Arabic"/>
          <w:b/>
          <w:bCs/>
          <w:sz w:val="36"/>
          <w:szCs w:val="36"/>
          <w:rtl/>
          <w:lang w:bidi="ar-EG"/>
        </w:rPr>
      </w:pPr>
      <w:r w:rsidRPr="00ED76DA">
        <w:rPr>
          <w:rFonts w:ascii="Traditional Arabic" w:hAnsi="Traditional Arabic" w:cs="Traditional Arabic" w:hint="cs"/>
          <w:b/>
          <w:bCs/>
          <w:sz w:val="36"/>
          <w:szCs w:val="36"/>
          <w:rtl/>
          <w:lang w:bidi="ar-EG"/>
        </w:rPr>
        <w:t>تعريف العقوبة في اللغة والإصطلاح</w:t>
      </w:r>
    </w:p>
    <w:p w14:paraId="395299C2" w14:textId="77777777" w:rsidR="00EF4C27" w:rsidRDefault="00EF4C27" w:rsidP="00EF4C27">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أولاً: تعريف العقوبة في اللغة</w:t>
      </w:r>
    </w:p>
    <w:p w14:paraId="30E16EA9" w14:textId="77777777" w:rsidR="00EF4C27" w:rsidRPr="00595336" w:rsidRDefault="00EF4C27" w:rsidP="00EF4C27">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1</w:t>
      </w:r>
      <w:r w:rsidRPr="00595336">
        <w:rPr>
          <w:rFonts w:ascii="Traditional Arabic" w:hAnsi="Traditional Arabic" w:cs="Traditional Arabic" w:hint="cs"/>
          <w:b/>
          <w:bCs/>
          <w:sz w:val="36"/>
          <w:szCs w:val="36"/>
          <w:rtl/>
          <w:lang w:bidi="ar-EG"/>
        </w:rPr>
        <w:t>.</w:t>
      </w:r>
      <w:r>
        <w:rPr>
          <w:rFonts w:ascii="Traditional Arabic" w:hAnsi="Traditional Arabic" w:cs="Traditional Arabic" w:hint="cs"/>
          <w:b/>
          <w:bCs/>
          <w:sz w:val="36"/>
          <w:szCs w:val="36"/>
          <w:rtl/>
          <w:lang w:bidi="ar-EG"/>
        </w:rPr>
        <w:t>مفهوم</w:t>
      </w:r>
      <w:r w:rsidRPr="00595336">
        <w:rPr>
          <w:rFonts w:ascii="Traditional Arabic" w:hAnsi="Traditional Arabic" w:cs="Traditional Arabic" w:hint="cs"/>
          <w:b/>
          <w:bCs/>
          <w:sz w:val="36"/>
          <w:szCs w:val="36"/>
          <w:rtl/>
          <w:lang w:bidi="ar-EG"/>
        </w:rPr>
        <w:t xml:space="preserve"> </w:t>
      </w:r>
      <w:r>
        <w:rPr>
          <w:rFonts w:ascii="Traditional Arabic" w:hAnsi="Traditional Arabic" w:cs="Traditional Arabic" w:hint="cs"/>
          <w:b/>
          <w:bCs/>
          <w:sz w:val="36"/>
          <w:szCs w:val="36"/>
          <w:rtl/>
          <w:lang w:bidi="ar-EG"/>
        </w:rPr>
        <w:t>ال</w:t>
      </w:r>
      <w:r w:rsidRPr="00595336">
        <w:rPr>
          <w:rFonts w:ascii="Traditional Arabic" w:hAnsi="Traditional Arabic" w:cs="Traditional Arabic" w:hint="cs"/>
          <w:b/>
          <w:bCs/>
          <w:sz w:val="36"/>
          <w:szCs w:val="36"/>
          <w:rtl/>
          <w:lang w:bidi="ar-EG"/>
        </w:rPr>
        <w:t xml:space="preserve">عقوبة في اللغة </w:t>
      </w:r>
    </w:p>
    <w:p w14:paraId="535F124D" w14:textId="77777777" w:rsidR="00EF4C27" w:rsidRDefault="00EF4C27" w:rsidP="001D3493">
      <w:pPr>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لقد أكد علماء اللغة العربية أن كلمة عقوبة في الأصل ليست عربية ولقد بدأ استخدام هذه الكلمة في المعجم الوسيط من خلال كلمة عقاب وهي مصدر للفعل عَقَبَ أي ما يعاقب به مرتكب الآثام عقوبة شديدة جزاء على ما اقترف من آثم. وجاءت بعض كلمات المعجم لتوضح أن كلمة عقوبة من عَاَقَبِة </w:t>
      </w:r>
      <w:r>
        <w:rPr>
          <w:rFonts w:ascii="Traditional Arabic" w:hAnsi="Traditional Arabic" w:cs="Traditional Arabic" w:hint="cs"/>
          <w:sz w:val="36"/>
          <w:szCs w:val="36"/>
          <w:rtl/>
          <w:lang w:bidi="ar-EG"/>
        </w:rPr>
        <w:lastRenderedPageBreak/>
        <w:t>وجمعها عواقب بمعني نتيجة الأفعال التي تم ارتكابها سواء حسنة كانت أم سيئة. و</w:t>
      </w:r>
      <w:r w:rsidR="001D3493">
        <w:rPr>
          <w:rFonts w:ascii="Traditional Arabic" w:hAnsi="Traditional Arabic" w:cs="Traditional Arabic" w:hint="cs"/>
          <w:sz w:val="36"/>
          <w:szCs w:val="36"/>
          <w:rtl/>
          <w:lang w:bidi="ar-EG"/>
        </w:rPr>
        <w:t xml:space="preserve">أشار سيده (1377) أن </w:t>
      </w:r>
      <w:r>
        <w:rPr>
          <w:rFonts w:ascii="Traditional Arabic" w:hAnsi="Traditional Arabic" w:cs="Traditional Arabic" w:hint="cs"/>
          <w:sz w:val="36"/>
          <w:szCs w:val="36"/>
          <w:rtl/>
          <w:lang w:bidi="ar-EG"/>
        </w:rPr>
        <w:t>العقوبة هي الجزاء العادل نتيجة لما فعله الجاني من شر تجاه الآخرين وهو عكس الخير.</w:t>
      </w:r>
      <w:r>
        <w:rPr>
          <w:rStyle w:val="FootnoteReference"/>
          <w:rFonts w:ascii="Traditional Arabic" w:hAnsi="Traditional Arabic" w:cs="Traditional Arabic"/>
          <w:sz w:val="36"/>
          <w:szCs w:val="36"/>
          <w:rtl/>
          <w:lang w:bidi="ar-EG"/>
        </w:rPr>
        <w:footnoteReference w:id="1"/>
      </w:r>
      <w:r>
        <w:rPr>
          <w:rFonts w:ascii="Traditional Arabic" w:hAnsi="Traditional Arabic" w:cs="Traditional Arabic" w:hint="cs"/>
          <w:sz w:val="36"/>
          <w:szCs w:val="36"/>
          <w:rtl/>
          <w:lang w:bidi="ar-EG"/>
        </w:rPr>
        <w:t xml:space="preserve"> </w:t>
      </w:r>
    </w:p>
    <w:p w14:paraId="014DE3B3" w14:textId="77777777" w:rsidR="00EF4C27" w:rsidRPr="00ED76DA" w:rsidRDefault="00EF4C27" w:rsidP="00EF4C27">
      <w:pPr>
        <w:jc w:val="both"/>
        <w:rPr>
          <w:rFonts w:ascii="Traditional Arabic" w:hAnsi="Traditional Arabic" w:cs="Traditional Arabic"/>
          <w:b/>
          <w:bCs/>
          <w:sz w:val="36"/>
          <w:szCs w:val="36"/>
          <w:lang w:bidi="ar-EG"/>
        </w:rPr>
      </w:pPr>
      <w:r>
        <w:rPr>
          <w:rFonts w:ascii="Traditional Arabic" w:hAnsi="Traditional Arabic" w:cs="Traditional Arabic" w:hint="cs"/>
          <w:b/>
          <w:bCs/>
          <w:sz w:val="36"/>
          <w:szCs w:val="36"/>
          <w:rtl/>
          <w:lang w:bidi="ar-EG"/>
        </w:rPr>
        <w:t>2</w:t>
      </w:r>
      <w:r w:rsidRPr="00ED76DA">
        <w:rPr>
          <w:rFonts w:ascii="Traditional Arabic" w:hAnsi="Traditional Arabic" w:cs="Traditional Arabic" w:hint="cs"/>
          <w:b/>
          <w:bCs/>
          <w:sz w:val="36"/>
          <w:szCs w:val="36"/>
          <w:rtl/>
          <w:lang w:bidi="ar-EG"/>
        </w:rPr>
        <w:t>.مفهوم كلمة إعدام في اللغة</w:t>
      </w:r>
    </w:p>
    <w:p w14:paraId="242507B2" w14:textId="7984602C" w:rsidR="001D3493" w:rsidRDefault="00F763B8" w:rsidP="00BA188C">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أشارت المعاجم اللغوية إلى كلة الإعدام لغوياً، حيث </w:t>
      </w:r>
      <w:r w:rsidR="001D3493">
        <w:rPr>
          <w:rFonts w:ascii="Traditional Arabic" w:hAnsi="Traditional Arabic" w:cs="Traditional Arabic" w:hint="cs"/>
          <w:sz w:val="36"/>
          <w:szCs w:val="36"/>
          <w:rtl/>
          <w:lang w:bidi="ar-EG"/>
        </w:rPr>
        <w:t xml:space="preserve">أكد الزمخشري (1987)  أن مفهوم الإعدام </w:t>
      </w:r>
      <w:r w:rsidR="00EF4C27">
        <w:rPr>
          <w:rFonts w:ascii="Traditional Arabic" w:hAnsi="Traditional Arabic" w:cs="Traditional Arabic" w:hint="cs"/>
          <w:sz w:val="36"/>
          <w:szCs w:val="36"/>
          <w:rtl/>
          <w:lang w:bidi="ar-EG"/>
        </w:rPr>
        <w:t>يعتبر من أبرز المفاهيم التي تشير العدم كرد فعل نتيجة ارتكاب جرائم خطيره في المجتمع، عدم يعدم عدم من الفناء وعدم الوجود، وتعني كلمة اعدام العدم والفناء والإعدام هو افتقاد الأشياء.</w:t>
      </w:r>
      <w:r w:rsidR="00EF4C27">
        <w:rPr>
          <w:rStyle w:val="FootnoteReference"/>
          <w:rFonts w:ascii="Traditional Arabic" w:hAnsi="Traditional Arabic" w:cs="Traditional Arabic"/>
          <w:sz w:val="36"/>
          <w:szCs w:val="36"/>
          <w:rtl/>
          <w:lang w:bidi="ar-EG"/>
        </w:rPr>
        <w:footnoteReference w:id="2"/>
      </w:r>
    </w:p>
    <w:p w14:paraId="3BA4FDF3" w14:textId="77777777" w:rsidR="00EF4C27" w:rsidRPr="005C66FD" w:rsidRDefault="00EF4C27" w:rsidP="00EF4C27">
      <w:pPr>
        <w:jc w:val="both"/>
        <w:rPr>
          <w:rFonts w:ascii="Traditional Arabic" w:hAnsi="Traditional Arabic" w:cs="Traditional Arabic"/>
          <w:b/>
          <w:bCs/>
          <w:sz w:val="36"/>
          <w:szCs w:val="36"/>
          <w:rtl/>
          <w:lang w:bidi="ar-EG"/>
        </w:rPr>
      </w:pPr>
      <w:r w:rsidRPr="005C66FD">
        <w:rPr>
          <w:rFonts w:ascii="Traditional Arabic" w:hAnsi="Traditional Arabic" w:cs="Traditional Arabic" w:hint="cs"/>
          <w:b/>
          <w:bCs/>
          <w:sz w:val="36"/>
          <w:szCs w:val="36"/>
          <w:rtl/>
          <w:lang w:bidi="ar-EG"/>
        </w:rPr>
        <w:t>ثانياً: تعريف العقوبة في الإصطلاح</w:t>
      </w:r>
    </w:p>
    <w:p w14:paraId="43AF20CA" w14:textId="77777777" w:rsidR="00EF4C27" w:rsidRPr="005C66FD" w:rsidRDefault="00EF4C27" w:rsidP="00EF4C27">
      <w:pPr>
        <w:jc w:val="both"/>
        <w:rPr>
          <w:rFonts w:ascii="Traditional Arabic" w:hAnsi="Traditional Arabic" w:cs="Traditional Arabic"/>
          <w:b/>
          <w:bCs/>
          <w:sz w:val="36"/>
          <w:szCs w:val="36"/>
          <w:rtl/>
          <w:lang w:bidi="ar-EG"/>
        </w:rPr>
      </w:pPr>
      <w:r w:rsidRPr="005C66FD">
        <w:rPr>
          <w:rFonts w:ascii="Traditional Arabic" w:hAnsi="Traditional Arabic" w:cs="Traditional Arabic" w:hint="cs"/>
          <w:b/>
          <w:bCs/>
          <w:sz w:val="36"/>
          <w:szCs w:val="36"/>
          <w:rtl/>
          <w:lang w:bidi="ar-EG"/>
        </w:rPr>
        <w:t xml:space="preserve">أ.تعريف العقوبة في </w:t>
      </w:r>
      <w:r w:rsidR="001D3493">
        <w:rPr>
          <w:rFonts w:ascii="Traditional Arabic" w:hAnsi="Traditional Arabic" w:cs="Traditional Arabic" w:hint="cs"/>
          <w:b/>
          <w:bCs/>
          <w:sz w:val="36"/>
          <w:szCs w:val="36"/>
          <w:rtl/>
          <w:lang w:bidi="ar-EG"/>
        </w:rPr>
        <w:t>إصطلاح اللغة</w:t>
      </w:r>
    </w:p>
    <w:p w14:paraId="742C38C6" w14:textId="2218C8B8" w:rsidR="00BA188C" w:rsidRDefault="00F763B8" w:rsidP="00F763B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هناك العديد من العلماء الذين تناولوا مفهوم العقوبة في الإصطلاح. </w:t>
      </w:r>
      <w:r w:rsidR="001D3493">
        <w:rPr>
          <w:rFonts w:ascii="Traditional Arabic" w:hAnsi="Traditional Arabic" w:cs="Traditional Arabic" w:hint="cs"/>
          <w:sz w:val="36"/>
          <w:szCs w:val="36"/>
          <w:rtl/>
          <w:lang w:bidi="ar-EG"/>
        </w:rPr>
        <w:t xml:space="preserve">أكد سيده (1377) أن </w:t>
      </w:r>
      <w:r w:rsidR="00EF4C27">
        <w:rPr>
          <w:rFonts w:ascii="Traditional Arabic" w:hAnsi="Traditional Arabic" w:cs="Traditional Arabic" w:hint="cs"/>
          <w:sz w:val="36"/>
          <w:szCs w:val="36"/>
          <w:rtl/>
          <w:lang w:bidi="ar-EG"/>
        </w:rPr>
        <w:t>العقوبة في الإصطلاح هي الإيذاء البدني والنفسي وفيها يحصل مرتكب الذنب نتيجة ما اقترفه الجاني من ذنوب وفقاً لطبيعة الجرم الذي ارتكبه.</w:t>
      </w:r>
      <w:r w:rsidR="00EF4C27">
        <w:rPr>
          <w:rStyle w:val="FootnoteReference"/>
          <w:rFonts w:ascii="Traditional Arabic" w:hAnsi="Traditional Arabic" w:cs="Traditional Arabic"/>
          <w:sz w:val="36"/>
          <w:szCs w:val="36"/>
          <w:rtl/>
          <w:lang w:bidi="ar-EG"/>
        </w:rPr>
        <w:footnoteReference w:id="3"/>
      </w:r>
    </w:p>
    <w:p w14:paraId="5F8AFA17" w14:textId="77777777" w:rsidR="00EF4C27" w:rsidRDefault="00EF4C27" w:rsidP="00EF4C27">
      <w:pPr>
        <w:jc w:val="both"/>
        <w:rPr>
          <w:rFonts w:ascii="Traditional Arabic" w:hAnsi="Traditional Arabic" w:cs="Traditional Arabic"/>
          <w:b/>
          <w:bCs/>
          <w:sz w:val="36"/>
          <w:szCs w:val="36"/>
          <w:rtl/>
          <w:lang w:bidi="ar-EG"/>
        </w:rPr>
      </w:pPr>
      <w:r w:rsidRPr="005C66FD">
        <w:rPr>
          <w:rFonts w:ascii="Traditional Arabic" w:hAnsi="Traditional Arabic" w:cs="Traditional Arabic" w:hint="cs"/>
          <w:b/>
          <w:bCs/>
          <w:sz w:val="36"/>
          <w:szCs w:val="36"/>
          <w:rtl/>
          <w:lang w:bidi="ar-EG"/>
        </w:rPr>
        <w:t xml:space="preserve">ب.تعريف الإعدام في </w:t>
      </w:r>
      <w:r w:rsidR="001D3493">
        <w:rPr>
          <w:rFonts w:ascii="Traditional Arabic" w:hAnsi="Traditional Arabic" w:cs="Traditional Arabic" w:hint="cs"/>
          <w:b/>
          <w:bCs/>
          <w:sz w:val="36"/>
          <w:szCs w:val="36"/>
          <w:rtl/>
          <w:lang w:bidi="ar-EG"/>
        </w:rPr>
        <w:t>إصطلاح اللغة</w:t>
      </w:r>
    </w:p>
    <w:p w14:paraId="71A92F6D" w14:textId="2BD90732" w:rsidR="00EF4C27" w:rsidRDefault="00F763B8" w:rsidP="00EF4C27">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هناك العديد من المعاجم اللغوية التي تناولت مفهوم الإعدام في إصطلاح اللغة. </w:t>
      </w:r>
      <w:r w:rsidR="00EF4C27">
        <w:rPr>
          <w:rFonts w:ascii="Traditional Arabic" w:hAnsi="Traditional Arabic" w:cs="Traditional Arabic" w:hint="cs"/>
          <w:sz w:val="36"/>
          <w:szCs w:val="36"/>
          <w:rtl/>
          <w:lang w:bidi="ar-EG"/>
        </w:rPr>
        <w:t>و</w:t>
      </w:r>
      <w:r w:rsidR="001D3493">
        <w:rPr>
          <w:rFonts w:ascii="Traditional Arabic" w:hAnsi="Traditional Arabic" w:cs="Traditional Arabic" w:hint="cs"/>
          <w:sz w:val="36"/>
          <w:szCs w:val="36"/>
          <w:rtl/>
          <w:lang w:bidi="ar-EG"/>
        </w:rPr>
        <w:t xml:space="preserve">عرف الزمخشري (1987) أن الإعدام في إصطلاح اللغة </w:t>
      </w:r>
      <w:r w:rsidR="00EF4C27">
        <w:rPr>
          <w:rFonts w:ascii="Traditional Arabic" w:hAnsi="Traditional Arabic" w:cs="Traditional Arabic" w:hint="cs"/>
          <w:sz w:val="36"/>
          <w:szCs w:val="36"/>
          <w:rtl/>
          <w:lang w:bidi="ar-EG"/>
        </w:rPr>
        <w:t>العدم هو الفقد وهي عكس الإدارك بالوجود. واعدم الشئ أي افقده وافناه.</w:t>
      </w:r>
      <w:r w:rsidR="00EF4C27">
        <w:rPr>
          <w:rStyle w:val="FootnoteReference"/>
          <w:rFonts w:ascii="Traditional Arabic" w:hAnsi="Traditional Arabic" w:cs="Traditional Arabic"/>
          <w:sz w:val="36"/>
          <w:szCs w:val="36"/>
          <w:rtl/>
          <w:lang w:bidi="ar-EG"/>
        </w:rPr>
        <w:footnoteReference w:id="4"/>
      </w:r>
      <w:r w:rsidR="00EF4C27">
        <w:rPr>
          <w:rFonts w:ascii="Traditional Arabic" w:hAnsi="Traditional Arabic" w:cs="Traditional Arabic" w:hint="cs"/>
          <w:sz w:val="36"/>
          <w:szCs w:val="36"/>
          <w:rtl/>
          <w:lang w:bidi="ar-EG"/>
        </w:rPr>
        <w:t xml:space="preserve"> </w:t>
      </w:r>
    </w:p>
    <w:p w14:paraId="3FF5E686" w14:textId="77777777" w:rsidR="00F763B8" w:rsidRDefault="00F763B8" w:rsidP="00EF4C27">
      <w:pPr>
        <w:jc w:val="both"/>
        <w:rPr>
          <w:rFonts w:ascii="Traditional Arabic" w:hAnsi="Traditional Arabic" w:cs="Traditional Arabic"/>
          <w:sz w:val="36"/>
          <w:szCs w:val="36"/>
          <w:rtl/>
          <w:lang w:bidi="ar-EG"/>
        </w:rPr>
      </w:pPr>
    </w:p>
    <w:p w14:paraId="028D5818" w14:textId="77777777" w:rsidR="00EF4C27" w:rsidRPr="00562455" w:rsidRDefault="00EF4C27" w:rsidP="00EF4C27">
      <w:pPr>
        <w:jc w:val="both"/>
        <w:rPr>
          <w:rFonts w:ascii="Traditional Arabic" w:hAnsi="Traditional Arabic" w:cs="Traditional Arabic"/>
          <w:b/>
          <w:bCs/>
          <w:sz w:val="36"/>
          <w:szCs w:val="36"/>
          <w:rtl/>
          <w:lang w:bidi="ar-EG"/>
        </w:rPr>
      </w:pPr>
      <w:r w:rsidRPr="00562455">
        <w:rPr>
          <w:rFonts w:ascii="Traditional Arabic" w:hAnsi="Traditional Arabic" w:cs="Traditional Arabic" w:hint="cs"/>
          <w:b/>
          <w:bCs/>
          <w:sz w:val="36"/>
          <w:szCs w:val="36"/>
          <w:rtl/>
          <w:lang w:bidi="ar-EG"/>
        </w:rPr>
        <w:t>ثالثاً: تعريف عقوبة الإعدام</w:t>
      </w:r>
      <w:r>
        <w:rPr>
          <w:rFonts w:ascii="Traditional Arabic" w:hAnsi="Traditional Arabic" w:cs="Traditional Arabic" w:hint="cs"/>
          <w:b/>
          <w:bCs/>
          <w:sz w:val="36"/>
          <w:szCs w:val="36"/>
          <w:rtl/>
          <w:lang w:bidi="ar-EG"/>
        </w:rPr>
        <w:t xml:space="preserve"> في اللغة </w:t>
      </w:r>
      <w:r w:rsidR="001D3493">
        <w:rPr>
          <w:rFonts w:ascii="Traditional Arabic" w:hAnsi="Traditional Arabic" w:cs="Traditional Arabic" w:hint="cs"/>
          <w:b/>
          <w:bCs/>
          <w:sz w:val="36"/>
          <w:szCs w:val="36"/>
          <w:rtl/>
          <w:lang w:bidi="ar-EG"/>
        </w:rPr>
        <w:t>وإصطلاح اللغة</w:t>
      </w:r>
    </w:p>
    <w:p w14:paraId="03794EFD" w14:textId="77777777" w:rsidR="00EF4C27" w:rsidRPr="00562455" w:rsidRDefault="00EF4C27" w:rsidP="00EF4C27">
      <w:pPr>
        <w:jc w:val="both"/>
        <w:rPr>
          <w:rFonts w:ascii="Traditional Arabic" w:hAnsi="Traditional Arabic" w:cs="Traditional Arabic"/>
          <w:b/>
          <w:bCs/>
          <w:sz w:val="36"/>
          <w:szCs w:val="36"/>
          <w:rtl/>
          <w:lang w:bidi="ar-EG"/>
        </w:rPr>
      </w:pPr>
      <w:r w:rsidRPr="00562455">
        <w:rPr>
          <w:rFonts w:ascii="Traditional Arabic" w:hAnsi="Traditional Arabic" w:cs="Traditional Arabic" w:hint="cs"/>
          <w:b/>
          <w:bCs/>
          <w:sz w:val="36"/>
          <w:szCs w:val="36"/>
          <w:rtl/>
          <w:lang w:bidi="ar-EG"/>
        </w:rPr>
        <w:lastRenderedPageBreak/>
        <w:t>أ.مفهوم عقوبة الإعدام في اللغة</w:t>
      </w:r>
    </w:p>
    <w:p w14:paraId="5FD7F137" w14:textId="77777777" w:rsidR="00EF4C27" w:rsidRPr="001D3493" w:rsidRDefault="00EF4C27" w:rsidP="001D3493">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أشارت العديد من المراجع اللغوية</w:t>
      </w:r>
      <w:r w:rsidR="001D3493">
        <w:rPr>
          <w:rFonts w:ascii="Traditional Arabic" w:hAnsi="Traditional Arabic" w:cs="Traditional Arabic" w:hint="cs"/>
          <w:sz w:val="36"/>
          <w:szCs w:val="36"/>
          <w:rtl/>
          <w:lang w:bidi="ar-EG"/>
        </w:rPr>
        <w:t xml:space="preserve"> ومن بينهم الزبيدي (2001)</w:t>
      </w:r>
      <w:r>
        <w:rPr>
          <w:rFonts w:ascii="Traditional Arabic" w:hAnsi="Traditional Arabic" w:cs="Traditional Arabic" w:hint="cs"/>
          <w:sz w:val="36"/>
          <w:szCs w:val="36"/>
          <w:rtl/>
          <w:lang w:bidi="ar-EG"/>
        </w:rPr>
        <w:t xml:space="preserve"> أن مفهوم</w:t>
      </w:r>
      <w:r w:rsidR="001D3493">
        <w:rPr>
          <w:rFonts w:ascii="Traditional Arabic" w:hAnsi="Traditional Arabic" w:cs="Traditional Arabic" w:hint="cs"/>
          <w:sz w:val="36"/>
          <w:szCs w:val="36"/>
          <w:rtl/>
          <w:lang w:bidi="ar-EG"/>
        </w:rPr>
        <w:t xml:space="preserve"> عقوبة </w:t>
      </w:r>
      <w:r>
        <w:rPr>
          <w:rFonts w:ascii="Traditional Arabic" w:hAnsi="Traditional Arabic" w:cs="Traditional Arabic" w:hint="cs"/>
          <w:sz w:val="36"/>
          <w:szCs w:val="36"/>
          <w:rtl/>
          <w:lang w:bidi="ar-EG"/>
        </w:rPr>
        <w:t>الإعدام هو الفناء عن عمد نتيجة اقتراف جرماً يفضي إلى القصاص أو إنزال نفس نوع العقوبة.</w:t>
      </w:r>
      <w:r>
        <w:rPr>
          <w:rStyle w:val="FootnoteReference"/>
          <w:rFonts w:ascii="Traditional Arabic" w:hAnsi="Traditional Arabic" w:cs="Traditional Arabic"/>
          <w:sz w:val="36"/>
          <w:szCs w:val="36"/>
          <w:rtl/>
          <w:lang w:bidi="ar-EG"/>
        </w:rPr>
        <w:footnoteReference w:id="5"/>
      </w:r>
      <w:r>
        <w:rPr>
          <w:rFonts w:ascii="Traditional Arabic" w:hAnsi="Traditional Arabic" w:cs="Traditional Arabic" w:hint="cs"/>
          <w:b/>
          <w:bCs/>
          <w:sz w:val="36"/>
          <w:szCs w:val="36"/>
          <w:rtl/>
          <w:lang w:bidi="ar-EG"/>
        </w:rPr>
        <w:t xml:space="preserve"> </w:t>
      </w:r>
      <w:r>
        <w:rPr>
          <w:rFonts w:ascii="Traditional Arabic" w:hAnsi="Traditional Arabic" w:cs="Traditional Arabic" w:hint="cs"/>
          <w:sz w:val="36"/>
          <w:szCs w:val="36"/>
          <w:rtl/>
          <w:lang w:bidi="ar-EG"/>
        </w:rPr>
        <w:t xml:space="preserve">وأشار علماء اللغة أن كلمة عقوبة الإعدام تؤدي إلى ذهاب حياة الإنسان نتيجة ارتكابه جرائم تؤدي إلى انزال القصاص عليه. </w:t>
      </w:r>
    </w:p>
    <w:p w14:paraId="7A4DA961" w14:textId="77777777" w:rsidR="00EF4C27" w:rsidRPr="00F43432" w:rsidRDefault="00EF4C27" w:rsidP="00EF4C27">
      <w:pPr>
        <w:jc w:val="both"/>
        <w:rPr>
          <w:rFonts w:ascii="Traditional Arabic" w:hAnsi="Traditional Arabic" w:cs="Traditional Arabic"/>
          <w:b/>
          <w:bCs/>
          <w:sz w:val="36"/>
          <w:szCs w:val="36"/>
          <w:rtl/>
          <w:lang w:bidi="ar-EG"/>
        </w:rPr>
      </w:pPr>
      <w:r w:rsidRPr="00F43432">
        <w:rPr>
          <w:rFonts w:ascii="Traditional Arabic" w:hAnsi="Traditional Arabic" w:cs="Traditional Arabic" w:hint="cs"/>
          <w:b/>
          <w:bCs/>
          <w:sz w:val="36"/>
          <w:szCs w:val="36"/>
          <w:rtl/>
          <w:lang w:bidi="ar-EG"/>
        </w:rPr>
        <w:t xml:space="preserve">ب.مفهوم عقوبة الإعدام في </w:t>
      </w:r>
      <w:r w:rsidR="001D3493">
        <w:rPr>
          <w:rFonts w:ascii="Traditional Arabic" w:hAnsi="Traditional Arabic" w:cs="Traditional Arabic" w:hint="cs"/>
          <w:b/>
          <w:bCs/>
          <w:sz w:val="36"/>
          <w:szCs w:val="36"/>
          <w:rtl/>
          <w:lang w:bidi="ar-EG"/>
        </w:rPr>
        <w:t>إصطلاح اللغة</w:t>
      </w:r>
      <w:r w:rsidRPr="00F43432">
        <w:rPr>
          <w:rFonts w:ascii="Traditional Arabic" w:hAnsi="Traditional Arabic" w:cs="Traditional Arabic" w:hint="cs"/>
          <w:b/>
          <w:bCs/>
          <w:sz w:val="36"/>
          <w:szCs w:val="36"/>
          <w:rtl/>
          <w:lang w:bidi="ar-EG"/>
        </w:rPr>
        <w:t xml:space="preserve"> </w:t>
      </w:r>
    </w:p>
    <w:p w14:paraId="1067DA10" w14:textId="6A03DAE9" w:rsidR="00EF4C27" w:rsidRDefault="00EF4C27" w:rsidP="00F763B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أشار العديد من العلماء </w:t>
      </w:r>
      <w:r w:rsidR="001D3493" w:rsidRPr="001D3493">
        <w:rPr>
          <w:rFonts w:ascii="Traditional Arabic" w:hAnsi="Traditional Arabic" w:cs="Traditional Arabic" w:hint="cs"/>
          <w:sz w:val="32"/>
          <w:szCs w:val="32"/>
          <w:rtl/>
          <w:lang w:bidi="ar-EG"/>
        </w:rPr>
        <w:t xml:space="preserve">ومن بينهم </w:t>
      </w:r>
      <w:r w:rsidR="001D3493" w:rsidRPr="001D3493">
        <w:rPr>
          <w:rFonts w:ascii="Traditional Arabic" w:hAnsi="Traditional Arabic" w:cs="Traditional Arabic"/>
          <w:sz w:val="32"/>
          <w:szCs w:val="32"/>
          <w:rtl/>
        </w:rPr>
        <w:t>شركراك</w:t>
      </w:r>
      <w:r w:rsidR="001D3493" w:rsidRPr="001D3493">
        <w:rPr>
          <w:rFonts w:ascii="Traditional Arabic" w:hAnsi="Traditional Arabic" w:cs="Traditional Arabic" w:hint="cs"/>
          <w:sz w:val="32"/>
          <w:szCs w:val="32"/>
          <w:rtl/>
          <w:lang w:bidi="ar-EG"/>
        </w:rPr>
        <w:t xml:space="preserve"> (2017) </w:t>
      </w:r>
      <w:r w:rsidRPr="001D3493">
        <w:rPr>
          <w:rFonts w:ascii="Traditional Arabic" w:hAnsi="Traditional Arabic" w:cs="Traditional Arabic" w:hint="cs"/>
          <w:sz w:val="32"/>
          <w:szCs w:val="32"/>
          <w:rtl/>
          <w:lang w:bidi="ar-EG"/>
        </w:rPr>
        <w:t>أن عقوبة الإعدام في الإصطلاح هي قتل عن عمد لأحد الأشخاص الذي</w:t>
      </w:r>
      <w:r>
        <w:rPr>
          <w:rFonts w:ascii="Traditional Arabic" w:hAnsi="Traditional Arabic" w:cs="Traditional Arabic" w:hint="cs"/>
          <w:sz w:val="36"/>
          <w:szCs w:val="36"/>
          <w:rtl/>
          <w:lang w:bidi="ar-EG"/>
        </w:rPr>
        <w:t xml:space="preserve"> قام بجريمة خطيره وذلك تحقيقاً للزجر العام في المجتمع وإبرازاً لفكرة القصاص العادل، وتتم هذه العملية وفقاً لمختلف التشريعات وبوسائل وأساليب مختلفه.</w:t>
      </w:r>
      <w:r>
        <w:rPr>
          <w:rStyle w:val="FootnoteReference"/>
          <w:rFonts w:ascii="Traditional Arabic" w:hAnsi="Traditional Arabic" w:cs="Traditional Arabic"/>
          <w:sz w:val="36"/>
          <w:szCs w:val="36"/>
          <w:rtl/>
          <w:lang w:bidi="ar-EG"/>
        </w:rPr>
        <w:footnoteReference w:id="6"/>
      </w:r>
      <w:r>
        <w:rPr>
          <w:rFonts w:ascii="Traditional Arabic" w:hAnsi="Traditional Arabic" w:cs="Traditional Arabic" w:hint="cs"/>
          <w:sz w:val="36"/>
          <w:szCs w:val="36"/>
          <w:rtl/>
          <w:lang w:bidi="ar-EG"/>
        </w:rPr>
        <w:t xml:space="preserve"> وهي فرصة حتي يتطهر المذنب من الذنب الذي اقترفه وذلك لايتأتي إلا بإستئصال الجناة مرتكبي الأعمال الإجرامية من المجتمع بإعدامهم وقتلهم بنفس الوسائل الذين ارتكبوا بها الجرائم أو بالوسائل التي يختارها أصحاب القرار في ذلك الوقت. </w:t>
      </w:r>
    </w:p>
    <w:p w14:paraId="7B2559F9" w14:textId="77777777" w:rsidR="00EF4C27" w:rsidRPr="00595336" w:rsidRDefault="00EF4C27" w:rsidP="00EF4C27">
      <w:pPr>
        <w:jc w:val="both"/>
        <w:rPr>
          <w:rFonts w:ascii="Traditional Arabic" w:hAnsi="Traditional Arabic" w:cs="Traditional Arabic"/>
          <w:b/>
          <w:bCs/>
          <w:sz w:val="36"/>
          <w:szCs w:val="36"/>
          <w:rtl/>
          <w:lang w:bidi="ar-EG"/>
        </w:rPr>
      </w:pPr>
      <w:r w:rsidRPr="00595336">
        <w:rPr>
          <w:rFonts w:ascii="Traditional Arabic" w:hAnsi="Traditional Arabic" w:cs="Traditional Arabic" w:hint="cs"/>
          <w:b/>
          <w:bCs/>
          <w:sz w:val="36"/>
          <w:szCs w:val="36"/>
          <w:rtl/>
          <w:lang w:bidi="ar-EG"/>
        </w:rPr>
        <w:t xml:space="preserve">جـ. </w:t>
      </w:r>
      <w:r>
        <w:rPr>
          <w:rFonts w:ascii="Traditional Arabic" w:hAnsi="Traditional Arabic" w:cs="Traditional Arabic" w:hint="cs"/>
          <w:b/>
          <w:bCs/>
          <w:sz w:val="36"/>
          <w:szCs w:val="36"/>
          <w:rtl/>
          <w:lang w:bidi="ar-EG"/>
        </w:rPr>
        <w:t xml:space="preserve">مفهوم عقوبة الإعدام </w:t>
      </w:r>
      <w:r w:rsidRPr="00595336">
        <w:rPr>
          <w:rFonts w:ascii="Traditional Arabic" w:hAnsi="Traditional Arabic" w:cs="Traditional Arabic" w:hint="cs"/>
          <w:b/>
          <w:bCs/>
          <w:sz w:val="36"/>
          <w:szCs w:val="36"/>
          <w:rtl/>
          <w:lang w:bidi="ar-EG"/>
        </w:rPr>
        <w:t>من وجهة نظر الشريعة الإسلامية</w:t>
      </w:r>
    </w:p>
    <w:p w14:paraId="62F98E34" w14:textId="77777777" w:rsidR="00EF4C27" w:rsidRDefault="00EF4C27" w:rsidP="00EF4C27">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من المؤكد أن الشريعة الإسلامية لاتحتوي على عقوبة الإعدام، فالعقوبة المنصوص عليها في أحكام الشريعة الإسلامية هي القصاص للقاتل عمداً وفي حالة الزنا للمحصن  وغيره من الحالات التي أقرتها الشريعة الإسلامية. ومع ذلك فقد أبرزت العديد من الدراسات أن مفهوم العقوبة من وجهة نظر الشريعة الإسلامية هي إنزال الجزاء على من يقوم بإرتكاب الجرائم تحقيقاً للزجر العام في المجتمع. ويتضح من المفهوم السابق أن الشريعة الإسلامية أكدت على أهمية تطبيق العقوبة على من يرتكب الجرائم الخطيرة في المجتمع، وبالرغم من أن المجتمعات الإسلامية كانت تطبق عقوبة الإعدام على من يرتكب الجرائم الخطيرة إلا أن هناك العديد من الآراء التي مازالت تشكك في  وجود تأصيل شرعي للعقوبة بشكل عام من القرآن الكريم والسنة النيوية المطهرة، حيث قال الله عز وجل في كتابه العزيز: </w:t>
      </w:r>
      <w:r w:rsidRPr="004F11B1">
        <w:rPr>
          <w:rFonts w:ascii="Traditional Arabic" w:hAnsi="Traditional Arabic" w:cs="Traditional Arabic"/>
          <w:sz w:val="36"/>
          <w:szCs w:val="36"/>
          <w:rtl/>
          <w:lang w:bidi="ar-EG"/>
        </w:rPr>
        <w:t xml:space="preserve">﴿ لَقَدْ أَرْسَلْنَا رُسُلَنَا بِالْبَيِّنَاتِ وَأَنْزَلْنَا مَعَهُمُ الْكِتَابَ </w:t>
      </w:r>
      <w:r w:rsidRPr="004F11B1">
        <w:rPr>
          <w:rFonts w:ascii="Traditional Arabic" w:hAnsi="Traditional Arabic" w:cs="Traditional Arabic"/>
          <w:sz w:val="36"/>
          <w:szCs w:val="36"/>
          <w:rtl/>
          <w:lang w:bidi="ar-EG"/>
        </w:rPr>
        <w:lastRenderedPageBreak/>
        <w:t>وَالْمِيزَانَ لِيَقُومَ النَّاسُ بِالْقِسْطِ وَأَنْزَلْنَا الْحَدِيدَ فِيهِ بَأْسٌ شَدِيدٌ وَمَنَافِعُ لِلنَّاسِ ﴾</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7"/>
      </w:r>
      <w:r>
        <w:rPr>
          <w:rFonts w:ascii="Traditional Arabic" w:hAnsi="Traditional Arabic" w:cs="Traditional Arabic" w:hint="cs"/>
          <w:sz w:val="36"/>
          <w:szCs w:val="36"/>
          <w:rtl/>
          <w:lang w:bidi="ar-EG"/>
        </w:rPr>
        <w:t xml:space="preserve"> ولقد أوضح القرآن الكريم أن العقوبة هدفها تحقيق العدل والقسط بين الناس في المجتمعات الإسلامية وأن الإحتكام لتطبيق العقوبة لايكون إلا بالرجوع إلى نصوص القرآن الكريم والسنة النبوية المطهرة وأقوال الصحابة والتابعين. كما قال الله عز وجل في محكم التنزيل: </w:t>
      </w:r>
      <w:r>
        <w:rPr>
          <w:rFonts w:ascii="Traditional Arabic" w:hAnsi="Traditional Arabic" w:cs="Traditional Arabic"/>
          <w:sz w:val="36"/>
          <w:szCs w:val="36"/>
          <w:rtl/>
          <w:lang w:bidi="ar-EG"/>
        </w:rPr>
        <w:t>﴿</w:t>
      </w:r>
      <w:r w:rsidRPr="004F11B1">
        <w:rPr>
          <w:rFonts w:ascii="Traditional Arabic" w:hAnsi="Traditional Arabic" w:cs="Traditional Arabic"/>
          <w:sz w:val="36"/>
          <w:szCs w:val="36"/>
          <w:rtl/>
          <w:lang w:bidi="ar-EG"/>
        </w:rPr>
        <w:t xml:space="preserve">وَإِنْ عَاقَبْتُمْ فَعَاقِبُوا بِمِثْلِ مَا عُوقِبْتُم بِهِ </w:t>
      </w:r>
      <w:r w:rsidRPr="004F11B1">
        <w:rPr>
          <w:rFonts w:hint="cs"/>
          <w:sz w:val="36"/>
          <w:szCs w:val="36"/>
          <w:rtl/>
          <w:lang w:bidi="ar-EG"/>
        </w:rPr>
        <w:t>ۖ</w:t>
      </w:r>
      <w:r w:rsidRPr="004F11B1">
        <w:rPr>
          <w:rFonts w:ascii="Traditional Arabic" w:hAnsi="Traditional Arabic" w:cs="Traditional Arabic"/>
          <w:sz w:val="36"/>
          <w:szCs w:val="36"/>
          <w:rtl/>
          <w:lang w:bidi="ar-EG"/>
        </w:rPr>
        <w:t xml:space="preserve"> </w:t>
      </w:r>
      <w:r w:rsidRPr="004F11B1">
        <w:rPr>
          <w:rFonts w:ascii="Traditional Arabic" w:hAnsi="Traditional Arabic" w:cs="Traditional Arabic" w:hint="cs"/>
          <w:sz w:val="36"/>
          <w:szCs w:val="36"/>
          <w:rtl/>
          <w:lang w:bidi="ar-EG"/>
        </w:rPr>
        <w:t>وَلَئِن</w:t>
      </w:r>
      <w:r w:rsidRPr="004F11B1">
        <w:rPr>
          <w:rFonts w:ascii="Traditional Arabic" w:hAnsi="Traditional Arabic" w:cs="Traditional Arabic"/>
          <w:sz w:val="36"/>
          <w:szCs w:val="36"/>
          <w:rtl/>
          <w:lang w:bidi="ar-EG"/>
        </w:rPr>
        <w:t xml:space="preserve"> </w:t>
      </w:r>
      <w:r w:rsidRPr="004F11B1">
        <w:rPr>
          <w:rFonts w:ascii="Traditional Arabic" w:hAnsi="Traditional Arabic" w:cs="Traditional Arabic" w:hint="cs"/>
          <w:sz w:val="36"/>
          <w:szCs w:val="36"/>
          <w:rtl/>
          <w:lang w:bidi="ar-EG"/>
        </w:rPr>
        <w:t>صَبَرْتُمْ</w:t>
      </w:r>
      <w:r w:rsidRPr="004F11B1">
        <w:rPr>
          <w:rFonts w:ascii="Traditional Arabic" w:hAnsi="Traditional Arabic" w:cs="Traditional Arabic"/>
          <w:sz w:val="36"/>
          <w:szCs w:val="36"/>
          <w:rtl/>
          <w:lang w:bidi="ar-EG"/>
        </w:rPr>
        <w:t xml:space="preserve"> </w:t>
      </w:r>
      <w:r w:rsidRPr="004F11B1">
        <w:rPr>
          <w:rFonts w:ascii="Traditional Arabic" w:hAnsi="Traditional Arabic" w:cs="Traditional Arabic" w:hint="cs"/>
          <w:sz w:val="36"/>
          <w:szCs w:val="36"/>
          <w:rtl/>
          <w:lang w:bidi="ar-EG"/>
        </w:rPr>
        <w:t>لَهُوَ</w:t>
      </w:r>
      <w:r w:rsidRPr="004F11B1">
        <w:rPr>
          <w:rFonts w:ascii="Traditional Arabic" w:hAnsi="Traditional Arabic" w:cs="Traditional Arabic"/>
          <w:sz w:val="36"/>
          <w:szCs w:val="36"/>
          <w:rtl/>
          <w:lang w:bidi="ar-EG"/>
        </w:rPr>
        <w:t xml:space="preserve"> </w:t>
      </w:r>
      <w:r w:rsidRPr="004F11B1">
        <w:rPr>
          <w:rFonts w:ascii="Traditional Arabic" w:hAnsi="Traditional Arabic" w:cs="Traditional Arabic" w:hint="cs"/>
          <w:sz w:val="36"/>
          <w:szCs w:val="36"/>
          <w:rtl/>
          <w:lang w:bidi="ar-EG"/>
        </w:rPr>
        <w:t>خَيْرٌ</w:t>
      </w:r>
      <w:r w:rsidRPr="004F11B1">
        <w:rPr>
          <w:rFonts w:ascii="Traditional Arabic" w:hAnsi="Traditional Arabic" w:cs="Traditional Arabic"/>
          <w:sz w:val="36"/>
          <w:szCs w:val="36"/>
          <w:rtl/>
          <w:lang w:bidi="ar-EG"/>
        </w:rPr>
        <w:t xml:space="preserve"> </w:t>
      </w:r>
      <w:r w:rsidRPr="004F11B1">
        <w:rPr>
          <w:rFonts w:ascii="Traditional Arabic" w:hAnsi="Traditional Arabic" w:cs="Traditional Arabic" w:hint="cs"/>
          <w:sz w:val="36"/>
          <w:szCs w:val="36"/>
          <w:rtl/>
          <w:lang w:bidi="ar-EG"/>
        </w:rPr>
        <w:t>لِّلصَّابِرِينَ</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8"/>
      </w:r>
      <w:r>
        <w:rPr>
          <w:rFonts w:ascii="Traditional Arabic" w:hAnsi="Traditional Arabic" w:cs="Traditional Arabic" w:hint="cs"/>
          <w:sz w:val="36"/>
          <w:szCs w:val="36"/>
          <w:rtl/>
          <w:lang w:bidi="ar-EG"/>
        </w:rPr>
        <w:t xml:space="preserve"> </w:t>
      </w:r>
      <w:r w:rsidR="009B46E3">
        <w:rPr>
          <w:rFonts w:ascii="Traditional Arabic" w:hAnsi="Traditional Arabic" w:cs="Traditional Arabic" w:hint="cs"/>
          <w:sz w:val="36"/>
          <w:szCs w:val="36"/>
          <w:rtl/>
          <w:lang w:bidi="ar-EG"/>
        </w:rPr>
        <w:t>وأكد بخيره  (2020)</w:t>
      </w:r>
      <w:r>
        <w:rPr>
          <w:rFonts w:ascii="Traditional Arabic" w:hAnsi="Traditional Arabic" w:cs="Traditional Arabic" w:hint="cs"/>
          <w:sz w:val="36"/>
          <w:szCs w:val="36"/>
          <w:rtl/>
          <w:lang w:bidi="ar-EG"/>
        </w:rPr>
        <w:t xml:space="preserve"> </w:t>
      </w:r>
      <w:r w:rsidR="009B46E3">
        <w:rPr>
          <w:rFonts w:ascii="Traditional Arabic" w:hAnsi="Traditional Arabic" w:cs="Traditional Arabic" w:hint="cs"/>
          <w:sz w:val="36"/>
          <w:szCs w:val="36"/>
          <w:rtl/>
          <w:lang w:bidi="ar-EG"/>
        </w:rPr>
        <w:t>أن</w:t>
      </w:r>
      <w:r>
        <w:rPr>
          <w:rFonts w:ascii="Traditional Arabic" w:hAnsi="Traditional Arabic" w:cs="Traditional Arabic" w:hint="cs"/>
          <w:sz w:val="36"/>
          <w:szCs w:val="36"/>
          <w:rtl/>
          <w:lang w:bidi="ar-EG"/>
        </w:rPr>
        <w:t xml:space="preserve"> فلسفة تطبيق العقوبة هي من الأصل تطبيقاً للسنة الله عز وجل في الكون وإنزالها على ما من كل من ارتكب الجرائم المنصوص عليها في القرآن الكريم والسنة النبوية المطهرة هي ضرورة لتحقيق العدل والقسط بين الناس ولتحقيق الأمن والسلم الإجتماعي، وكذلك لحفظ المجتمع الإسلامي ضد كل من تسول له نفسه لإرتكاب مثل هذا النوع من الجرائم الخطيره في المجتمع.</w:t>
      </w:r>
      <w:r>
        <w:rPr>
          <w:rStyle w:val="FootnoteReference"/>
          <w:rFonts w:ascii="Traditional Arabic" w:hAnsi="Traditional Arabic" w:cs="Traditional Arabic"/>
          <w:sz w:val="36"/>
          <w:szCs w:val="36"/>
          <w:rtl/>
          <w:lang w:bidi="ar-EG"/>
        </w:rPr>
        <w:footnoteReference w:id="9"/>
      </w:r>
      <w:r>
        <w:rPr>
          <w:rFonts w:ascii="Traditional Arabic" w:hAnsi="Traditional Arabic" w:cs="Traditional Arabic" w:hint="cs"/>
          <w:sz w:val="36"/>
          <w:szCs w:val="36"/>
          <w:rtl/>
          <w:lang w:bidi="ar-EG"/>
        </w:rPr>
        <w:t xml:space="preserve"> وبالرغم من أن الله عز وجل قد أكرم الإنسان وكرمه وجعله مسؤولاً في الأرض حيث قال الله تعالي في محكم التنزيل: </w:t>
      </w:r>
      <w:r>
        <w:rPr>
          <w:rFonts w:ascii="Traditional Arabic" w:hAnsi="Traditional Arabic" w:cs="Traditional Arabic"/>
          <w:sz w:val="36"/>
          <w:szCs w:val="36"/>
          <w:rtl/>
          <w:lang w:bidi="ar-EG"/>
        </w:rPr>
        <w:t>﴿</w:t>
      </w:r>
      <w:r w:rsidRPr="009536A8">
        <w:rPr>
          <w:rFonts w:ascii="Traditional Arabic" w:hAnsi="Traditional Arabic" w:cs="Traditional Arabic"/>
          <w:sz w:val="36"/>
          <w:szCs w:val="36"/>
          <w:rtl/>
          <w:lang w:bidi="ar-EG"/>
        </w:rPr>
        <w:t xml:space="preserve">وَإِذْ قَالَ رَبُّكَ لِلْمَلَائِكَةِ إِنِّي جَاعِلٌ فِي الْأَرْضِ خَلِيفَةً </w:t>
      </w:r>
      <w:r w:rsidRPr="009536A8">
        <w:rPr>
          <w:rFonts w:hint="cs"/>
          <w:sz w:val="36"/>
          <w:szCs w:val="36"/>
          <w:rtl/>
          <w:lang w:bidi="ar-EG"/>
        </w:rPr>
        <w:t>ۖ</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قَالُوا</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أَتَجْعَلُ</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فِيهَا</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مَن</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يُفْسِدُ</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فِيهَا</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وَيَسْفِكُ</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الدِّمَاءَ</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وَنَحْنُ</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نُسَبِّحُ</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بِحَمْدِكَ</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وَنُقَدِّسُ</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لَكَ</w:t>
      </w:r>
      <w:r w:rsidRPr="009536A8">
        <w:rPr>
          <w:rFonts w:ascii="Traditional Arabic" w:hAnsi="Traditional Arabic" w:cs="Traditional Arabic"/>
          <w:sz w:val="36"/>
          <w:szCs w:val="36"/>
          <w:rtl/>
          <w:lang w:bidi="ar-EG"/>
        </w:rPr>
        <w:t xml:space="preserve"> </w:t>
      </w:r>
      <w:r w:rsidRPr="009536A8">
        <w:rPr>
          <w:rFonts w:hint="cs"/>
          <w:sz w:val="36"/>
          <w:szCs w:val="36"/>
          <w:rtl/>
          <w:lang w:bidi="ar-EG"/>
        </w:rPr>
        <w:t>ۖ</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قَالَ</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إِنِّي</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أَعْلَمُ</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مَا</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لَا</w:t>
      </w:r>
      <w:r w:rsidRPr="009536A8">
        <w:rPr>
          <w:rFonts w:ascii="Traditional Arabic" w:hAnsi="Traditional Arabic" w:cs="Traditional Arabic"/>
          <w:sz w:val="36"/>
          <w:szCs w:val="36"/>
          <w:rtl/>
          <w:lang w:bidi="ar-EG"/>
        </w:rPr>
        <w:t xml:space="preserve"> </w:t>
      </w:r>
      <w:r w:rsidRPr="009536A8">
        <w:rPr>
          <w:rFonts w:ascii="Traditional Arabic" w:hAnsi="Traditional Arabic" w:cs="Traditional Arabic" w:hint="cs"/>
          <w:sz w:val="36"/>
          <w:szCs w:val="36"/>
          <w:rtl/>
          <w:lang w:bidi="ar-EG"/>
        </w:rPr>
        <w:t>تَعْلَمُونَ</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10"/>
      </w:r>
      <w:r>
        <w:rPr>
          <w:rFonts w:ascii="Traditional Arabic" w:hAnsi="Traditional Arabic" w:cs="Traditional Arabic" w:hint="cs"/>
          <w:sz w:val="36"/>
          <w:szCs w:val="36"/>
          <w:rtl/>
          <w:lang w:bidi="ar-EG"/>
        </w:rPr>
        <w:t xml:space="preserve"> إلا أن الإنسان قد ضيع الأمانة والمسؤولية التي وضعها الله في عنق ابن آدم لإعمار الأرض وليس للتخريب والقتل والسعي لإيذاء الآخرين وارتكاب الجرائم المختلفة، ولقد جعل الله عز وجل من السنن الكونية فكرة القصاص وأكد القرآن الكريم على ضرورة إحياء النفس البشرية وتطهيرها حيث قال الله تعالي في محكم التنزيل: </w:t>
      </w:r>
      <w:r>
        <w:rPr>
          <w:rFonts w:ascii="Traditional Arabic" w:hAnsi="Traditional Arabic" w:cs="Traditional Arabic"/>
          <w:sz w:val="36"/>
          <w:szCs w:val="36"/>
          <w:rtl/>
          <w:lang w:bidi="ar-EG"/>
        </w:rPr>
        <w:t>﴿</w:t>
      </w:r>
      <w:r w:rsidRPr="003E4BB3">
        <w:rPr>
          <w:rFonts w:ascii="Traditional Arabic" w:hAnsi="Traditional Arabic" w:cs="Traditional Arabic"/>
          <w:sz w:val="36"/>
          <w:szCs w:val="36"/>
          <w:rtl/>
          <w:lang w:bidi="ar-EG"/>
        </w:rPr>
        <w:t xml:space="preserve">مِنْ أَجْلِ ذَٰلِكَ كَتَبْنَا عَلَىٰ بَنِي إِسْرَائِيلَ أَنَّهُ مَن قَتَلَ نَفْسًا بِغَيْرِ نَفْسٍ أَوْ فَسَادٍ فِي الْأَرْضِ فَكَأَنَّمَا قَتَلَ النَّاسَ جَمِيعًا وَمَنْ أَحْيَاهَا فَكَأَنَّمَا أَحْيَا النَّاسَ جَمِيعًا </w:t>
      </w:r>
      <w:r w:rsidRPr="003E4BB3">
        <w:rPr>
          <w:rFonts w:hint="cs"/>
          <w:sz w:val="36"/>
          <w:szCs w:val="36"/>
          <w:rtl/>
          <w:lang w:bidi="ar-EG"/>
        </w:rPr>
        <w:t>ۚ</w:t>
      </w:r>
      <w:r w:rsidRPr="003E4BB3">
        <w:rPr>
          <w:rFonts w:ascii="Traditional Arabic" w:hAnsi="Traditional Arabic" w:cs="Traditional Arabic"/>
          <w:sz w:val="36"/>
          <w:szCs w:val="36"/>
          <w:rtl/>
          <w:lang w:bidi="ar-EG"/>
        </w:rPr>
        <w:t xml:space="preserve"> </w:t>
      </w:r>
      <w:r w:rsidRPr="003E4BB3">
        <w:rPr>
          <w:rFonts w:ascii="Traditional Arabic" w:hAnsi="Traditional Arabic" w:cs="Traditional Arabic" w:hint="cs"/>
          <w:sz w:val="36"/>
          <w:szCs w:val="36"/>
          <w:rtl/>
          <w:lang w:bidi="ar-EG"/>
        </w:rPr>
        <w:t>وَلَقَدْ</w:t>
      </w:r>
      <w:r w:rsidRPr="003E4BB3">
        <w:rPr>
          <w:rFonts w:ascii="Traditional Arabic" w:hAnsi="Traditional Arabic" w:cs="Traditional Arabic"/>
          <w:sz w:val="36"/>
          <w:szCs w:val="36"/>
          <w:rtl/>
          <w:lang w:bidi="ar-EG"/>
        </w:rPr>
        <w:t xml:space="preserve"> </w:t>
      </w:r>
      <w:r w:rsidRPr="003E4BB3">
        <w:rPr>
          <w:rFonts w:ascii="Traditional Arabic" w:hAnsi="Traditional Arabic" w:cs="Traditional Arabic" w:hint="cs"/>
          <w:sz w:val="36"/>
          <w:szCs w:val="36"/>
          <w:rtl/>
          <w:lang w:bidi="ar-EG"/>
        </w:rPr>
        <w:t>جَاءَتْهُمْ</w:t>
      </w:r>
      <w:r w:rsidRPr="003E4BB3">
        <w:rPr>
          <w:rFonts w:ascii="Traditional Arabic" w:hAnsi="Traditional Arabic" w:cs="Traditional Arabic"/>
          <w:sz w:val="36"/>
          <w:szCs w:val="36"/>
          <w:rtl/>
          <w:lang w:bidi="ar-EG"/>
        </w:rPr>
        <w:t xml:space="preserve"> </w:t>
      </w:r>
      <w:r w:rsidRPr="003E4BB3">
        <w:rPr>
          <w:rFonts w:ascii="Traditional Arabic" w:hAnsi="Traditional Arabic" w:cs="Traditional Arabic" w:hint="cs"/>
          <w:sz w:val="36"/>
          <w:szCs w:val="36"/>
          <w:rtl/>
          <w:lang w:bidi="ar-EG"/>
        </w:rPr>
        <w:t>رُسُلُنَا</w:t>
      </w:r>
      <w:r w:rsidRPr="003E4BB3">
        <w:rPr>
          <w:rFonts w:ascii="Traditional Arabic" w:hAnsi="Traditional Arabic" w:cs="Traditional Arabic"/>
          <w:sz w:val="36"/>
          <w:szCs w:val="36"/>
          <w:rtl/>
          <w:lang w:bidi="ar-EG"/>
        </w:rPr>
        <w:t xml:space="preserve"> </w:t>
      </w:r>
      <w:r w:rsidRPr="003E4BB3">
        <w:rPr>
          <w:rFonts w:ascii="Traditional Arabic" w:hAnsi="Traditional Arabic" w:cs="Traditional Arabic" w:hint="cs"/>
          <w:sz w:val="36"/>
          <w:szCs w:val="36"/>
          <w:rtl/>
          <w:lang w:bidi="ar-EG"/>
        </w:rPr>
        <w:t>بِالْبَيِّنَاتِ</w:t>
      </w:r>
      <w:r w:rsidRPr="003E4BB3">
        <w:rPr>
          <w:rFonts w:ascii="Traditional Arabic" w:hAnsi="Traditional Arabic" w:cs="Traditional Arabic"/>
          <w:sz w:val="36"/>
          <w:szCs w:val="36"/>
          <w:rtl/>
          <w:lang w:bidi="ar-EG"/>
        </w:rPr>
        <w:t xml:space="preserve"> </w:t>
      </w:r>
      <w:r w:rsidRPr="003E4BB3">
        <w:rPr>
          <w:rFonts w:ascii="Traditional Arabic" w:hAnsi="Traditional Arabic" w:cs="Traditional Arabic" w:hint="cs"/>
          <w:sz w:val="36"/>
          <w:szCs w:val="36"/>
          <w:rtl/>
          <w:lang w:bidi="ar-EG"/>
        </w:rPr>
        <w:t>ثُمَّ</w:t>
      </w:r>
      <w:r w:rsidRPr="003E4BB3">
        <w:rPr>
          <w:rFonts w:ascii="Traditional Arabic" w:hAnsi="Traditional Arabic" w:cs="Traditional Arabic"/>
          <w:sz w:val="36"/>
          <w:szCs w:val="36"/>
          <w:rtl/>
          <w:lang w:bidi="ar-EG"/>
        </w:rPr>
        <w:t xml:space="preserve"> إِنَّ كَثِيرًا مِّنْهُم بَعْدَ ذَٰلِكَ فِي الْأَرْضِ لَمُسْرِفُونَ</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11"/>
      </w:r>
      <w:r>
        <w:rPr>
          <w:rFonts w:ascii="Traditional Arabic" w:hAnsi="Traditional Arabic" w:cs="Traditional Arabic" w:hint="cs"/>
          <w:sz w:val="36"/>
          <w:szCs w:val="36"/>
          <w:rtl/>
          <w:lang w:bidi="ar-EG"/>
        </w:rPr>
        <w:t xml:space="preserve"> ولقد عظم القرآن الكريم من شأن الحفاظ على الحياة البشرية والإهتمام بها ورعايتها والقيام بالقصاص العادل </w:t>
      </w:r>
      <w:r>
        <w:rPr>
          <w:rFonts w:ascii="Traditional Arabic" w:hAnsi="Traditional Arabic" w:cs="Traditional Arabic" w:hint="cs"/>
          <w:sz w:val="36"/>
          <w:szCs w:val="36"/>
          <w:rtl/>
          <w:lang w:bidi="ar-EG"/>
        </w:rPr>
        <w:lastRenderedPageBreak/>
        <w:t>ممن أهدر النفس البشرية بدون وجه حق ظلماً وعدواناً. ولقد جعل الله لولي الدم حقوقاً مادية ومعنوية تعويضاً عن حجم الضرر الذي تسبب به الظالم المعتدي.</w:t>
      </w:r>
      <w:r>
        <w:rPr>
          <w:rStyle w:val="FootnoteReference"/>
          <w:rFonts w:ascii="Traditional Arabic" w:hAnsi="Traditional Arabic" w:cs="Traditional Arabic"/>
          <w:sz w:val="36"/>
          <w:szCs w:val="36"/>
          <w:rtl/>
          <w:lang w:bidi="ar-EG"/>
        </w:rPr>
        <w:footnoteReference w:id="12"/>
      </w:r>
      <w:r>
        <w:rPr>
          <w:rFonts w:ascii="Traditional Arabic" w:hAnsi="Traditional Arabic" w:cs="Traditional Arabic" w:hint="cs"/>
          <w:sz w:val="36"/>
          <w:szCs w:val="36"/>
          <w:rtl/>
          <w:lang w:bidi="ar-EG"/>
        </w:rPr>
        <w:t xml:space="preserve"> </w:t>
      </w:r>
    </w:p>
    <w:p w14:paraId="1AD15EB3" w14:textId="71CC19EC" w:rsidR="00694203" w:rsidRDefault="00EF4C27" w:rsidP="00EF4C27">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ولقد أقرت السنة النبوية الشريفة على وجوب تطبيق العقوبة على كل من ارتكب الجرائم في المجتمع، وأن السنة النبوية المطهره قد أشارت أن الله عز وجل من رحمته بمن ارتكب الجرائم أن الله عز وجل لايجمع على عبده عقوبتين أو بعبارة أخرى فمن أخذ عقوبته في الدنيا لمن ارتكب الجرائم لايمكن أن يعذب في الآخرة لنفس الجرم، كما أن السنة النبوية المطهره بهذا النهج الرباني أشارت إلى أن الهدف من تطبيق العقوبة هدفاً تقويمياً يساهم في الحد من ارتكاب الجرائم، كما أنه يتيح الفرصة للمذنب أن يتطهر من الجرم الذي اقترفه وأن يحصل على عقوبته كفرصة للتوبة والإنابة إلى الله عز وجل، حيث قال رسول الله صلى الله عليه وسلم: </w:t>
      </w:r>
      <w:r>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من أصاب ذنباً فعوقب به في الدنيا فالله أكرم من أن يثني العقوبة على عبده في الآخرة</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13"/>
      </w:r>
      <w:r>
        <w:rPr>
          <w:rFonts w:ascii="Traditional Arabic" w:hAnsi="Traditional Arabic" w:cs="Traditional Arabic" w:hint="cs"/>
          <w:sz w:val="36"/>
          <w:szCs w:val="36"/>
          <w:rtl/>
          <w:lang w:bidi="ar-EG"/>
        </w:rPr>
        <w:t xml:space="preserve"> ومن ناحية أخرى فإن علماء الإسلام قد أشاروا اختلفوا في تحديد مفهوم واضح للعقوبة، وبالرغم من اتفاق العلماء حول أهمية تطبيق العقوبة إلا أنهم اختلفوا في تحديد مفهوم واضح للعقوبة، حيث رأي </w:t>
      </w:r>
      <w:r w:rsidR="00F763B8">
        <w:rPr>
          <w:rFonts w:ascii="Traditional Arabic" w:hAnsi="Traditional Arabic" w:cs="Traditional Arabic" w:hint="cs"/>
          <w:sz w:val="36"/>
          <w:szCs w:val="36"/>
          <w:rtl/>
          <w:lang w:bidi="ar-EG"/>
        </w:rPr>
        <w:t xml:space="preserve">أبو يوسف وهو من </w:t>
      </w:r>
      <w:r>
        <w:rPr>
          <w:rFonts w:ascii="Traditional Arabic" w:hAnsi="Traditional Arabic" w:cs="Traditional Arabic" w:hint="cs"/>
          <w:sz w:val="36"/>
          <w:szCs w:val="36"/>
          <w:rtl/>
          <w:lang w:bidi="ar-EG"/>
        </w:rPr>
        <w:t>اتباع الإمام أبو حنيفة أن العقوبة هي الحدود التي ذكرت في القرآن الكريم والسنة النبوية المطهرة والتي يمكن تطبيقها على من ارتكب الجرائم الخطيره المنصوص عليها في القرآن الكريم والسنة النبوية المطهرة، وأشار الإمام الأحناف أنه لايمكن تطبيق عقوبات أخرى غير المنصوص عليها في القرآن الكريم والسنة النبوية المطهره، أما المالكية فقد أشاروا إلى أنه يمكن تحديد مفهوم واضح للعقوبة بأنها الجزاء الذي أقره الله عز وجل لمعاقبة من اقترف ذنباً ظلماً وعدواناً على غيره من البشر لتحقيق  العدل والردع الملائم له وعبرة لغيره لتحقيق الزجر العام.</w:t>
      </w:r>
      <w:r>
        <w:rPr>
          <w:rStyle w:val="FootnoteReference"/>
          <w:rFonts w:ascii="Traditional Arabic" w:hAnsi="Traditional Arabic" w:cs="Traditional Arabic"/>
          <w:sz w:val="36"/>
          <w:szCs w:val="36"/>
          <w:rtl/>
          <w:lang w:bidi="ar-EG"/>
        </w:rPr>
        <w:footnoteReference w:id="14"/>
      </w:r>
      <w:r>
        <w:rPr>
          <w:rFonts w:ascii="Traditional Arabic" w:hAnsi="Traditional Arabic" w:cs="Traditional Arabic" w:hint="cs"/>
          <w:sz w:val="36"/>
          <w:szCs w:val="36"/>
          <w:rtl/>
          <w:lang w:bidi="ar-EG"/>
        </w:rPr>
        <w:t xml:space="preserve"> </w:t>
      </w:r>
      <w:r w:rsidR="009B46E3">
        <w:rPr>
          <w:rFonts w:ascii="Traditional Arabic" w:hAnsi="Traditional Arabic" w:cs="Traditional Arabic" w:hint="cs"/>
          <w:sz w:val="36"/>
          <w:szCs w:val="36"/>
          <w:rtl/>
          <w:lang w:bidi="ar-EG"/>
        </w:rPr>
        <w:t xml:space="preserve">أكد ابن عطاء (1988) أن </w:t>
      </w:r>
      <w:r>
        <w:rPr>
          <w:rFonts w:ascii="Traditional Arabic" w:hAnsi="Traditional Arabic" w:cs="Traditional Arabic" w:hint="cs"/>
          <w:sz w:val="36"/>
          <w:szCs w:val="36"/>
          <w:rtl/>
          <w:lang w:bidi="ar-EG"/>
        </w:rPr>
        <w:t xml:space="preserve">الشافعية </w:t>
      </w:r>
      <w:r w:rsidR="009B46E3">
        <w:rPr>
          <w:rFonts w:ascii="Traditional Arabic" w:hAnsi="Traditional Arabic" w:cs="Traditional Arabic" w:hint="cs"/>
          <w:sz w:val="36"/>
          <w:szCs w:val="36"/>
          <w:rtl/>
          <w:lang w:bidi="ar-EG"/>
        </w:rPr>
        <w:t xml:space="preserve">لم يختلفوا </w:t>
      </w:r>
      <w:r>
        <w:rPr>
          <w:rFonts w:ascii="Traditional Arabic" w:hAnsi="Traditional Arabic" w:cs="Traditional Arabic" w:hint="cs"/>
          <w:sz w:val="36"/>
          <w:szCs w:val="36"/>
          <w:rtl/>
          <w:lang w:bidi="ar-EG"/>
        </w:rPr>
        <w:t>كثيراً حيث قالوا بأن العقوبة هي الجزاء العادل لمن اقترف جرماً بدون حق على أن تتبع الطرق والأساليب التي أشارت إليها الشريعة الإسلامية في تطبيق تلك العقوبات ولتحقيق الزجر العام من تطبيقها.</w:t>
      </w:r>
      <w:r>
        <w:rPr>
          <w:rStyle w:val="FootnoteReference"/>
          <w:rFonts w:ascii="Traditional Arabic" w:hAnsi="Traditional Arabic" w:cs="Traditional Arabic"/>
          <w:sz w:val="36"/>
          <w:szCs w:val="36"/>
          <w:rtl/>
          <w:lang w:bidi="ar-EG"/>
        </w:rPr>
        <w:footnoteReference w:id="15"/>
      </w:r>
      <w:r>
        <w:rPr>
          <w:rFonts w:ascii="Traditional Arabic" w:hAnsi="Traditional Arabic" w:cs="Traditional Arabic" w:hint="cs"/>
          <w:sz w:val="36"/>
          <w:szCs w:val="36"/>
          <w:rtl/>
          <w:lang w:bidi="ar-EG"/>
        </w:rPr>
        <w:t xml:space="preserve"> أما </w:t>
      </w:r>
      <w:r w:rsidR="009B46E3">
        <w:rPr>
          <w:rFonts w:ascii="Traditional Arabic" w:hAnsi="Traditional Arabic" w:cs="Traditional Arabic" w:hint="cs"/>
          <w:sz w:val="36"/>
          <w:szCs w:val="36"/>
          <w:rtl/>
          <w:lang w:bidi="ar-EG"/>
        </w:rPr>
        <w:t xml:space="preserve">أزهري (2019) فقد أشار أن </w:t>
      </w:r>
      <w:r>
        <w:rPr>
          <w:rFonts w:ascii="Traditional Arabic" w:hAnsi="Traditional Arabic" w:cs="Traditional Arabic" w:hint="cs"/>
          <w:sz w:val="36"/>
          <w:szCs w:val="36"/>
          <w:rtl/>
          <w:lang w:bidi="ar-EG"/>
        </w:rPr>
        <w:t xml:space="preserve">الشافعية </w:t>
      </w:r>
      <w:r w:rsidR="009B46E3">
        <w:rPr>
          <w:rFonts w:ascii="Traditional Arabic" w:hAnsi="Traditional Arabic" w:cs="Traditional Arabic" w:hint="cs"/>
          <w:sz w:val="36"/>
          <w:szCs w:val="36"/>
          <w:rtl/>
          <w:lang w:bidi="ar-EG"/>
        </w:rPr>
        <w:lastRenderedPageBreak/>
        <w:t>قد عرفوا</w:t>
      </w:r>
      <w:r>
        <w:rPr>
          <w:rFonts w:ascii="Traditional Arabic" w:hAnsi="Traditional Arabic" w:cs="Traditional Arabic" w:hint="cs"/>
          <w:sz w:val="36"/>
          <w:szCs w:val="36"/>
          <w:rtl/>
          <w:lang w:bidi="ar-EG"/>
        </w:rPr>
        <w:t xml:space="preserve"> العقوبة</w:t>
      </w:r>
      <w:r w:rsidR="009B46E3">
        <w:rPr>
          <w:rFonts w:ascii="Traditional Arabic" w:hAnsi="Traditional Arabic" w:cs="Traditional Arabic" w:hint="cs"/>
          <w:sz w:val="36"/>
          <w:szCs w:val="36"/>
          <w:rtl/>
          <w:lang w:bidi="ar-EG"/>
        </w:rPr>
        <w:t xml:space="preserve"> بأنها</w:t>
      </w:r>
      <w:r>
        <w:rPr>
          <w:rFonts w:ascii="Traditional Arabic" w:hAnsi="Traditional Arabic" w:cs="Traditional Arabic" w:hint="cs"/>
          <w:sz w:val="36"/>
          <w:szCs w:val="36"/>
          <w:rtl/>
          <w:lang w:bidi="ar-EG"/>
        </w:rPr>
        <w:t xml:space="preserve"> هي إستخدام الطرق المنصوص عليها في الشريعة الإسلامية وخاصة في القرآن والسنة النبوية المطهرة تجاه من ثبت قيامه بجريمة معينه بحق شخص أو مجموعة من الأشخاص دون وجه حق.</w:t>
      </w:r>
      <w:r>
        <w:rPr>
          <w:rStyle w:val="FootnoteReference"/>
          <w:rFonts w:ascii="Traditional Arabic" w:hAnsi="Traditional Arabic" w:cs="Traditional Arabic"/>
          <w:sz w:val="36"/>
          <w:szCs w:val="36"/>
          <w:rtl/>
          <w:lang w:bidi="ar-EG"/>
        </w:rPr>
        <w:footnoteReference w:id="16"/>
      </w:r>
      <w:r>
        <w:rPr>
          <w:rFonts w:ascii="Traditional Arabic" w:hAnsi="Traditional Arabic" w:cs="Traditional Arabic" w:hint="cs"/>
          <w:sz w:val="36"/>
          <w:szCs w:val="36"/>
          <w:rtl/>
          <w:lang w:bidi="ar-EG"/>
        </w:rPr>
        <w:t xml:space="preserve"> أما </w:t>
      </w:r>
      <w:r w:rsidR="009B46E3" w:rsidRPr="0037273A">
        <w:rPr>
          <w:rFonts w:ascii="Traditional Arabic" w:hAnsi="Traditional Arabic" w:cs="Traditional Arabic"/>
          <w:sz w:val="28"/>
          <w:szCs w:val="28"/>
          <w:rtl/>
        </w:rPr>
        <w:t>البدارين</w:t>
      </w:r>
      <w:r w:rsidR="009B46E3">
        <w:rPr>
          <w:rFonts w:ascii="Traditional Arabic" w:hAnsi="Traditional Arabic" w:cs="Traditional Arabic" w:hint="cs"/>
          <w:sz w:val="36"/>
          <w:szCs w:val="36"/>
          <w:rtl/>
          <w:lang w:bidi="ar-EG"/>
        </w:rPr>
        <w:t xml:space="preserve"> (2020) فقد أشار إلى أن </w:t>
      </w:r>
      <w:r>
        <w:rPr>
          <w:rFonts w:ascii="Traditional Arabic" w:hAnsi="Traditional Arabic" w:cs="Traditional Arabic" w:hint="cs"/>
          <w:sz w:val="36"/>
          <w:szCs w:val="36"/>
          <w:rtl/>
          <w:lang w:bidi="ar-EG"/>
        </w:rPr>
        <w:t xml:space="preserve">الحنابله </w:t>
      </w:r>
      <w:r w:rsidR="009B46E3">
        <w:rPr>
          <w:rFonts w:ascii="Traditional Arabic" w:hAnsi="Traditional Arabic" w:cs="Traditional Arabic" w:hint="cs"/>
          <w:sz w:val="36"/>
          <w:szCs w:val="36"/>
          <w:rtl/>
          <w:lang w:bidi="ar-EG"/>
        </w:rPr>
        <w:t>ذهبوا</w:t>
      </w:r>
      <w:r>
        <w:rPr>
          <w:rFonts w:ascii="Traditional Arabic" w:hAnsi="Traditional Arabic" w:cs="Traditional Arabic" w:hint="cs"/>
          <w:sz w:val="36"/>
          <w:szCs w:val="36"/>
          <w:rtl/>
          <w:lang w:bidi="ar-EG"/>
        </w:rPr>
        <w:t xml:space="preserve"> إلى أن العقوبة هي الأساليب التي تطبق على كل من اقترف ذنباً أو جرماً نتيجة التعدي وارتكاب الجرائم بحق الآخرين. وأن الحاكم وولاة الأمور لهم الحق في اختيار أحدى الوسائل العقابية التي يمكن من خلالها تطبيق عقوبة الإعدام.</w:t>
      </w:r>
      <w:r>
        <w:rPr>
          <w:rStyle w:val="FootnoteReference"/>
          <w:rFonts w:ascii="Traditional Arabic" w:hAnsi="Traditional Arabic" w:cs="Traditional Arabic"/>
          <w:sz w:val="36"/>
          <w:szCs w:val="36"/>
          <w:rtl/>
          <w:lang w:bidi="ar-EG"/>
        </w:rPr>
        <w:footnoteReference w:id="17"/>
      </w:r>
      <w:r>
        <w:rPr>
          <w:rFonts w:ascii="Traditional Arabic" w:hAnsi="Traditional Arabic" w:cs="Traditional Arabic" w:hint="cs"/>
          <w:sz w:val="36"/>
          <w:szCs w:val="36"/>
          <w:rtl/>
          <w:lang w:bidi="ar-EG"/>
        </w:rPr>
        <w:t xml:space="preserve">  ويري الباحث أنه بالرغم من اتفاق معظم المفاهيم التي اتفق عليها أهل العلم إلا أن الباحث يرى أن العقوبة هي الجزاء العادل والملائم بالقدر الذي ارتكبه الجاني حيث يحدد مقدار العقوبة بمقدار ما اقترف الجاني من جرم وفقاً لنصوص الشريعة الإسلامية والقانون. ومن المؤكد أن العقوبة لايمكن تطبيقها إلا بعد استنفاذ العديد من إجراءات التقاضي التي تثبت ضلوع المتهم بإرتكابه الجريمة فضلاً عن اعترافه بإرتكابه للجرم. ولقد أكدت السنة النبوية المطهرة على عقوبة الإعدام والقصاص لمن قتل مظلوماً، حيث أشارت السنة النبوية المطهرة بضرورة العمل على تطبيق عقوبة الإعدام لتحقيق القصاص والزجر العام في المجتمع المسلم، وحتي لايتجرأ كل من سولت له نفسه ارتكاب الجرائم في المجتمع بدون وجه حق، حيث قال رسول الله صلى الله عليه وسلم: </w:t>
      </w:r>
      <w:r>
        <w:rPr>
          <w:rFonts w:ascii="Traditional Arabic" w:hAnsi="Traditional Arabic" w:cs="Traditional Arabic"/>
          <w:sz w:val="36"/>
          <w:szCs w:val="36"/>
          <w:rtl/>
          <w:lang w:bidi="ar-EG"/>
        </w:rPr>
        <w:t>﴿</w:t>
      </w:r>
      <w:r w:rsidRPr="003E4BB3">
        <w:rPr>
          <w:rFonts w:ascii="Traditional Arabic" w:hAnsi="Traditional Arabic" w:cs="Traditional Arabic"/>
          <w:sz w:val="36"/>
          <w:szCs w:val="36"/>
          <w:rtl/>
          <w:lang w:bidi="ar-EG"/>
        </w:rPr>
        <w:t>حَدَّثَنَا أَبُو اليَمَانِ ، قَالَ : أَخْبَرَنَا شُعَيْبٌ ، عَنِ الزُّهْرِيِّ ، قَالَ : أَخْبَرَنِي أَبُو إِدْرِيسَ عَائِذُ اللَّهِ بْنُ عَبْدِ اللَّهِ، أَنَّ عُبَادَةَ بْنَ الصَّامِتِ رَضِيَ اللَّهُ عَنْهُ وَكَانَ شَهِدَ بَدْرًا وَهُوَ أَحَدُ النُّقَبَاءِ لَيْلَةَ العَقَبَةِ : أَنَّ رَسُولَ اللَّهِ صَلَّى اللَّهُ عَلَيْهِ وَسَلَّمَ قَالَ ، وَحَوْلَهُ عِصَابَةٌ مِنْ أَصْحَابِهِ : بَايِعُونِي عَلَى أَنْ لاَ تُشْرِكُوا بِاللَّهِ شَيْئًا ، وَلاَ تَسْرِقُوا ، وَلاَ تَزْنُوا ، وَلاَ تَقْتُلُوا أَوْلاَدَكُمْ ، وَلاَ تَأْتُوا بِبُهْتَانٍ تَفْتَرُونَهُ بَيْنَ أَيْدِيكُمْ وَأَرْجُلِكُمْ ، وَلاَ تَعْصُوا فِي مَعْرُوفٍ ، فَمَنْ وَفَى مِنْكُمْ فَأَجْرُهُ عَلَى اللَّهِ ، وَمَنْ أَصَابَ مِنْ ذَلِكَ شَيْئًا فَعُوقِبَ فِي الدُّنْيَا فَهُوَ كَفَّارَةٌ لَهُ ، وَمَنْ أَصَابَ مِنْ ذَلِكَ شَيْئًا ثُمَّ سَتَرَهُ اللَّهُ فَهُوَ إِلَى اللَّهِ ، إِنْ شَاءَ عَفَا عَنْهُ وَإِنْ شَاءَ عَاقَبَهُ فَبَايَعْنَاهُ عَلَى ذَلِكَ</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18"/>
      </w:r>
      <w:r>
        <w:rPr>
          <w:rFonts w:ascii="Traditional Arabic" w:hAnsi="Traditional Arabic" w:cs="Traditional Arabic" w:hint="cs"/>
          <w:sz w:val="36"/>
          <w:szCs w:val="36"/>
          <w:rtl/>
          <w:lang w:bidi="ar-EG"/>
        </w:rPr>
        <w:t xml:space="preserve"> ولقد </w:t>
      </w:r>
      <w:r>
        <w:rPr>
          <w:rFonts w:ascii="Traditional Arabic" w:hAnsi="Traditional Arabic" w:cs="Traditional Arabic" w:hint="cs"/>
          <w:sz w:val="36"/>
          <w:szCs w:val="36"/>
          <w:rtl/>
          <w:lang w:bidi="ar-EG"/>
        </w:rPr>
        <w:lastRenderedPageBreak/>
        <w:t xml:space="preserve">أوضحت السنة النبوية المطهرة عاقبة ارتكاب الجرائم الخطيرة في المجتمع وانه لحفظ المجتمع يجب تطبيق حدود الله وانزال القصاص على كل من ارتكب الجرائم الخطيرة في المجتمع بدون وجه حق. </w:t>
      </w:r>
    </w:p>
    <w:p w14:paraId="6D2AAB87" w14:textId="77777777" w:rsidR="00167EA8" w:rsidRPr="0008137C" w:rsidRDefault="00167EA8" w:rsidP="00167EA8">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غايات </w:t>
      </w:r>
      <w:r w:rsidRPr="0008137C">
        <w:rPr>
          <w:rFonts w:ascii="Traditional Arabic" w:hAnsi="Traditional Arabic" w:cs="Traditional Arabic" w:hint="cs"/>
          <w:b/>
          <w:bCs/>
          <w:sz w:val="36"/>
          <w:szCs w:val="36"/>
          <w:rtl/>
          <w:lang w:bidi="ar-EG"/>
        </w:rPr>
        <w:t xml:space="preserve">عقوبة الإعدام </w:t>
      </w:r>
    </w:p>
    <w:p w14:paraId="19034438" w14:textId="77777777" w:rsidR="00167EA8" w:rsidRDefault="00167EA8" w:rsidP="00167EA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تتمثل غايات عقوبة الإعدام في العديد من النقاط، حيث أن وجود تلك الغايات تساهم في بروز مدى التزام المجتمع بالشريعة الإسلامية، ومن بين أبرز تلك الغايات مايلي: </w:t>
      </w:r>
    </w:p>
    <w:p w14:paraId="2D5CDAA8" w14:textId="77777777" w:rsidR="00167EA8" w:rsidRDefault="00167EA8" w:rsidP="00167EA8">
      <w:pPr>
        <w:jc w:val="both"/>
        <w:rPr>
          <w:rFonts w:ascii="Traditional Arabic" w:hAnsi="Traditional Arabic" w:cs="Traditional Arabic"/>
          <w:b/>
          <w:bCs/>
          <w:sz w:val="36"/>
          <w:szCs w:val="36"/>
          <w:rtl/>
          <w:lang w:bidi="ar-EG"/>
        </w:rPr>
      </w:pPr>
      <w:r w:rsidRPr="00E95B7D">
        <w:rPr>
          <w:rFonts w:ascii="Traditional Arabic" w:hAnsi="Traditional Arabic" w:cs="Traditional Arabic" w:hint="cs"/>
          <w:b/>
          <w:bCs/>
          <w:sz w:val="36"/>
          <w:szCs w:val="36"/>
          <w:rtl/>
          <w:lang w:bidi="ar-EG"/>
        </w:rPr>
        <w:t xml:space="preserve">1.دفع مخاطر </w:t>
      </w:r>
      <w:r>
        <w:rPr>
          <w:rFonts w:ascii="Traditional Arabic" w:hAnsi="Traditional Arabic" w:cs="Traditional Arabic" w:hint="cs"/>
          <w:b/>
          <w:bCs/>
          <w:sz w:val="36"/>
          <w:szCs w:val="36"/>
          <w:rtl/>
          <w:lang w:bidi="ar-EG"/>
        </w:rPr>
        <w:t>هلاك النفس البشرية</w:t>
      </w:r>
    </w:p>
    <w:p w14:paraId="5E3D2F5A" w14:textId="77777777" w:rsidR="00EF4C27" w:rsidRDefault="00167EA8" w:rsidP="001D3493">
      <w:pPr>
        <w:jc w:val="both"/>
        <w:rPr>
          <w:rFonts w:ascii="Traditional Arabic" w:hAnsi="Traditional Arabic" w:cs="Traditional Arabic"/>
          <w:sz w:val="36"/>
          <w:szCs w:val="36"/>
          <w:rtl/>
          <w:lang w:bidi="ar-EG"/>
        </w:rPr>
      </w:pPr>
      <w:r w:rsidRPr="00E95B7D">
        <w:rPr>
          <w:rFonts w:ascii="Traditional Arabic" w:hAnsi="Traditional Arabic" w:cs="Traditional Arabic" w:hint="cs"/>
          <w:sz w:val="36"/>
          <w:szCs w:val="36"/>
          <w:rtl/>
          <w:lang w:bidi="ar-EG"/>
        </w:rPr>
        <w:t>من أبرز غايات</w:t>
      </w:r>
      <w:r>
        <w:rPr>
          <w:rFonts w:ascii="Traditional Arabic" w:hAnsi="Traditional Arabic" w:cs="Traditional Arabic" w:hint="cs"/>
          <w:sz w:val="36"/>
          <w:szCs w:val="36"/>
          <w:rtl/>
          <w:lang w:bidi="ar-EG"/>
        </w:rPr>
        <w:t xml:space="preserve"> عقوبة الإعدام هو دفع كافة المخاطر عن هلاك النفس البشرية، حيث أن عامة الأفراد حين يعرفوا حدود الله عز وجل في قتل النفس سوف يدفعهم بدون شك إلى الإبتعاد عن المشاحنات ودفع المخاطر للحفاظ على النفس البشرية، كما أن عقوبة الإعدام تعتبر من أكثر وسائل الترهيب في المجتمعات المسلمة، وبالتالي فلايوجد الإعتداء أو مساس الآخرين بدون وجه حق. ومن جانب أخر فإن</w:t>
      </w:r>
      <w:r w:rsidR="009B46E3">
        <w:rPr>
          <w:rFonts w:ascii="Traditional Arabic" w:hAnsi="Traditional Arabic" w:cs="Traditional Arabic" w:hint="cs"/>
          <w:sz w:val="36"/>
          <w:szCs w:val="36"/>
          <w:rtl/>
          <w:lang w:bidi="ar-EG"/>
        </w:rPr>
        <w:t xml:space="preserve"> عنبوسي (2015) قد أكد أن</w:t>
      </w:r>
      <w:r>
        <w:rPr>
          <w:rFonts w:ascii="Traditional Arabic" w:hAnsi="Traditional Arabic" w:cs="Traditional Arabic" w:hint="cs"/>
          <w:sz w:val="36"/>
          <w:szCs w:val="36"/>
          <w:rtl/>
          <w:lang w:bidi="ar-EG"/>
        </w:rPr>
        <w:t xml:space="preserve"> أصحاب القرار وولاة أمور المسلمين من بين أبرز غاياتهم هو الحد من ارتكاب الجرائم في المجتمع والحفاظ على أمنه الإجتماعي بأكبر قدر ممكن وعدم الإنزلاق نحو ارتكاب الجرائم الخطيرة والإبتعاد عن كل معصيه تغضب الله ورسوله.</w:t>
      </w:r>
      <w:r>
        <w:rPr>
          <w:rStyle w:val="FootnoteReference"/>
          <w:rFonts w:ascii="Traditional Arabic" w:hAnsi="Traditional Arabic" w:cs="Traditional Arabic"/>
          <w:sz w:val="36"/>
          <w:szCs w:val="36"/>
          <w:rtl/>
          <w:lang w:bidi="ar-EG"/>
        </w:rPr>
        <w:footnoteReference w:id="19"/>
      </w:r>
      <w:r>
        <w:rPr>
          <w:rFonts w:ascii="Traditional Arabic" w:hAnsi="Traditional Arabic" w:cs="Traditional Arabic" w:hint="cs"/>
          <w:sz w:val="36"/>
          <w:szCs w:val="36"/>
          <w:rtl/>
          <w:lang w:bidi="ar-EG"/>
        </w:rPr>
        <w:t xml:space="preserve"> </w:t>
      </w:r>
    </w:p>
    <w:p w14:paraId="6C4E851B" w14:textId="77777777" w:rsidR="00167EA8" w:rsidRPr="00E95B7D" w:rsidRDefault="00167EA8" w:rsidP="00167EA8">
      <w:pPr>
        <w:jc w:val="both"/>
        <w:rPr>
          <w:rFonts w:ascii="Traditional Arabic" w:hAnsi="Traditional Arabic" w:cs="Traditional Arabic"/>
          <w:b/>
          <w:bCs/>
          <w:sz w:val="36"/>
          <w:szCs w:val="36"/>
          <w:rtl/>
          <w:lang w:bidi="ar-EG"/>
        </w:rPr>
      </w:pPr>
      <w:r w:rsidRPr="00E95B7D">
        <w:rPr>
          <w:rFonts w:ascii="Traditional Arabic" w:hAnsi="Traditional Arabic" w:cs="Traditional Arabic" w:hint="cs"/>
          <w:b/>
          <w:bCs/>
          <w:sz w:val="36"/>
          <w:szCs w:val="36"/>
          <w:rtl/>
          <w:lang w:bidi="ar-EG"/>
        </w:rPr>
        <w:t>2.تحقق السلام الإجتماعي المنشود</w:t>
      </w:r>
    </w:p>
    <w:p w14:paraId="1B554EDA" w14:textId="77777777" w:rsidR="00167EA8" w:rsidRDefault="009B46E3" w:rsidP="00167EA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أشار المصاروة (2016) أن</w:t>
      </w:r>
      <w:r w:rsidR="00167EA8" w:rsidRPr="00E95B7D">
        <w:rPr>
          <w:rFonts w:ascii="Traditional Arabic" w:hAnsi="Traditional Arabic" w:cs="Traditional Arabic" w:hint="cs"/>
          <w:sz w:val="36"/>
          <w:szCs w:val="36"/>
          <w:rtl/>
          <w:lang w:bidi="ar-EG"/>
        </w:rPr>
        <w:t xml:space="preserve"> </w:t>
      </w:r>
      <w:r w:rsidR="00167EA8">
        <w:rPr>
          <w:rFonts w:ascii="Traditional Arabic" w:hAnsi="Traditional Arabic" w:cs="Traditional Arabic" w:hint="cs"/>
          <w:sz w:val="36"/>
          <w:szCs w:val="36"/>
          <w:rtl/>
          <w:lang w:bidi="ar-EG"/>
        </w:rPr>
        <w:t xml:space="preserve">عقوبة الإعدام </w:t>
      </w:r>
      <w:r>
        <w:rPr>
          <w:rFonts w:ascii="Traditional Arabic" w:hAnsi="Traditional Arabic" w:cs="Traditional Arabic" w:hint="cs"/>
          <w:sz w:val="36"/>
          <w:szCs w:val="36"/>
          <w:rtl/>
          <w:lang w:bidi="ar-EG"/>
        </w:rPr>
        <w:t xml:space="preserve">تقوم </w:t>
      </w:r>
      <w:r w:rsidR="00167EA8">
        <w:rPr>
          <w:rFonts w:ascii="Traditional Arabic" w:hAnsi="Traditional Arabic" w:cs="Traditional Arabic" w:hint="cs"/>
          <w:sz w:val="36"/>
          <w:szCs w:val="36"/>
          <w:rtl/>
          <w:lang w:bidi="ar-EG"/>
        </w:rPr>
        <w:t xml:space="preserve">على تحقيق السلام الإجتماعي المنشود في المجتمع المسلم، فمن خلال تطبيق عقوبة الإعدام سوف تختفي ثقافة الثأر وحمل السلاح وتهديد الآخرين وترويعهم والحفاظ على ضمان عدم الإعتداء على حقوق الغير. كما أن إنزال القصاص والحدود والتعزير يساهم في تعزيز فكرة الإنضباط والإنشغال بما أحله الله والإبتعاد عن كل ما نهي الله عز وجل عنه في كتابة الكريم وما أمرت به السنة النبوية المطهرة. ويرى الباحث أن تحقيق السلام الإجتماعي يتطلب أيضاً منظومة إجرائية تحفظ للمظلوم حقه في حالة التعدي على حقوق الغير، تقوم تلك المنظومة على سرعة اثبات التهم بالأدلة </w:t>
      </w:r>
      <w:r w:rsidR="00167EA8">
        <w:rPr>
          <w:rFonts w:ascii="Traditional Arabic" w:hAnsi="Traditional Arabic" w:cs="Traditional Arabic" w:hint="cs"/>
          <w:sz w:val="36"/>
          <w:szCs w:val="36"/>
          <w:rtl/>
          <w:lang w:bidi="ar-EG"/>
        </w:rPr>
        <w:lastRenderedPageBreak/>
        <w:t>والشهود وإنزال العقاب وعدم المماطله حتي لايشعر المظلوم بأن حقه قد سلب مما يعجز معه ولاة الأمور عن ضبط الأمور بعد ذلك.</w:t>
      </w:r>
      <w:r w:rsidR="00167EA8">
        <w:rPr>
          <w:rStyle w:val="FootnoteReference"/>
          <w:rFonts w:ascii="Traditional Arabic" w:hAnsi="Traditional Arabic" w:cs="Traditional Arabic"/>
          <w:sz w:val="36"/>
          <w:szCs w:val="36"/>
          <w:rtl/>
          <w:lang w:bidi="ar-EG"/>
        </w:rPr>
        <w:footnoteReference w:id="20"/>
      </w:r>
      <w:r w:rsidR="00167EA8">
        <w:rPr>
          <w:rFonts w:ascii="Traditional Arabic" w:hAnsi="Traditional Arabic" w:cs="Traditional Arabic" w:hint="cs"/>
          <w:sz w:val="36"/>
          <w:szCs w:val="36"/>
          <w:rtl/>
          <w:lang w:bidi="ar-EG"/>
        </w:rPr>
        <w:t xml:space="preserve"> </w:t>
      </w:r>
    </w:p>
    <w:p w14:paraId="32BEC65B" w14:textId="77777777" w:rsidR="00167EA8" w:rsidRPr="000961CF" w:rsidRDefault="00167EA8" w:rsidP="00167EA8">
      <w:pPr>
        <w:jc w:val="both"/>
        <w:rPr>
          <w:rFonts w:ascii="Traditional Arabic" w:hAnsi="Traditional Arabic" w:cs="Traditional Arabic"/>
          <w:b/>
          <w:bCs/>
          <w:sz w:val="36"/>
          <w:szCs w:val="36"/>
          <w:rtl/>
          <w:lang w:bidi="ar-EG"/>
        </w:rPr>
      </w:pPr>
      <w:r w:rsidRPr="000961CF">
        <w:rPr>
          <w:rFonts w:ascii="Traditional Arabic" w:hAnsi="Traditional Arabic" w:cs="Traditional Arabic" w:hint="cs"/>
          <w:b/>
          <w:bCs/>
          <w:sz w:val="36"/>
          <w:szCs w:val="36"/>
          <w:rtl/>
          <w:lang w:bidi="ar-EG"/>
        </w:rPr>
        <w:t xml:space="preserve">3.تحقيق العدالة الإلهية </w:t>
      </w:r>
    </w:p>
    <w:p w14:paraId="5BCC5DA2" w14:textId="77777777" w:rsidR="00EF4C27" w:rsidRDefault="00167EA8" w:rsidP="00BA188C">
      <w:pPr>
        <w:jc w:val="both"/>
        <w:rPr>
          <w:rFonts w:ascii="Traditional Arabic" w:hAnsi="Traditional Arabic" w:cs="Traditional Arabic"/>
          <w:sz w:val="36"/>
          <w:szCs w:val="36"/>
          <w:rtl/>
          <w:lang w:bidi="ar-EG"/>
        </w:rPr>
      </w:pPr>
      <w:r w:rsidRPr="00E95B7D">
        <w:rPr>
          <w:rFonts w:ascii="Traditional Arabic" w:hAnsi="Traditional Arabic" w:cs="Traditional Arabic" w:hint="cs"/>
          <w:sz w:val="36"/>
          <w:szCs w:val="36"/>
          <w:rtl/>
          <w:lang w:bidi="ar-EG"/>
        </w:rPr>
        <w:t xml:space="preserve"> </w:t>
      </w:r>
      <w:r w:rsidR="009B46E3">
        <w:rPr>
          <w:rFonts w:ascii="Traditional Arabic" w:hAnsi="Traditional Arabic" w:cs="Traditional Arabic" w:hint="cs"/>
          <w:sz w:val="36"/>
          <w:szCs w:val="36"/>
          <w:rtl/>
          <w:lang w:bidi="ar-EG"/>
        </w:rPr>
        <w:t>ذهب</w:t>
      </w:r>
      <w:r>
        <w:rPr>
          <w:rFonts w:ascii="Traditional Arabic" w:hAnsi="Traditional Arabic" w:cs="Traditional Arabic" w:hint="cs"/>
          <w:sz w:val="36"/>
          <w:szCs w:val="36"/>
          <w:rtl/>
          <w:lang w:bidi="ar-EG"/>
        </w:rPr>
        <w:t xml:space="preserve"> </w:t>
      </w:r>
      <w:r w:rsidR="009B46E3" w:rsidRPr="009B46E3">
        <w:rPr>
          <w:rFonts w:ascii="Traditional Arabic" w:hAnsi="Traditional Arabic" w:cs="Traditional Arabic"/>
          <w:sz w:val="36"/>
          <w:szCs w:val="36"/>
          <w:rtl/>
        </w:rPr>
        <w:t>بولحية</w:t>
      </w:r>
      <w:r w:rsidR="009B46E3">
        <w:rPr>
          <w:rFonts w:ascii="Traditional Arabic" w:hAnsi="Traditional Arabic" w:cs="Traditional Arabic" w:hint="cs"/>
          <w:sz w:val="36"/>
          <w:szCs w:val="36"/>
          <w:rtl/>
          <w:lang w:bidi="ar-EG"/>
        </w:rPr>
        <w:t xml:space="preserve"> (2019) إلى أن</w:t>
      </w:r>
      <w:r w:rsidR="009B46E3" w:rsidRPr="009B46E3">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تطبيق عقوبة الإعدام يهدف في المقام الأول إلى تحقيق العدالة الإلهية، كما يهدف إلى تطبيق أوامر الله ونواهيه في كيفية التعامل مع مرتكب الجرائم الخطيرة في المجتمع الإسلامي. كما أن العدالة الإلهية تتمثل في ضرورة محاسبة من اقترف الذنوب الكبيرة بحق الآخرين كالقتل والغيله والزنا للزاني المحصن والمرتد عن الإسلام وتاجر المخدرات والخمور وغيرها من الأمور المنصوص عنها في الشريعة الإسلامية. كما أن تفعيل العدالة الإلهية يتطلب من المسؤولين ضرورة التأكد من افساح المجال للمتهم من اثبات براءته إذا كان بريئاً أو أنه اعترف بجريمته وبشهادة الشهود والوقائع والمستندات. ولقد أقر الله عز وجل القصاص لحرمة الإعتداء على الآخرين، ولتوقير أحكام الله عز وجل في نفوس العوام والخواص وعدم الإعتداء على الأخرين.</w:t>
      </w:r>
      <w:r>
        <w:rPr>
          <w:rStyle w:val="FootnoteReference"/>
          <w:rFonts w:ascii="Traditional Arabic" w:hAnsi="Traditional Arabic" w:cs="Traditional Arabic"/>
          <w:sz w:val="36"/>
          <w:szCs w:val="36"/>
          <w:rtl/>
          <w:lang w:bidi="ar-EG"/>
        </w:rPr>
        <w:footnoteReference w:id="21"/>
      </w:r>
      <w:r>
        <w:rPr>
          <w:rFonts w:ascii="Traditional Arabic" w:hAnsi="Traditional Arabic" w:cs="Traditional Arabic" w:hint="cs"/>
          <w:sz w:val="36"/>
          <w:szCs w:val="36"/>
          <w:rtl/>
          <w:lang w:bidi="ar-EG"/>
        </w:rPr>
        <w:t xml:space="preserve"> </w:t>
      </w:r>
    </w:p>
    <w:p w14:paraId="4A31021E" w14:textId="77777777" w:rsidR="00167EA8" w:rsidRPr="00C82C97" w:rsidRDefault="00167EA8" w:rsidP="00167EA8">
      <w:pPr>
        <w:jc w:val="both"/>
        <w:rPr>
          <w:rFonts w:ascii="Traditional Arabic" w:hAnsi="Traditional Arabic" w:cs="Traditional Arabic"/>
          <w:b/>
          <w:bCs/>
          <w:sz w:val="36"/>
          <w:szCs w:val="36"/>
          <w:rtl/>
          <w:lang w:bidi="ar-EG"/>
        </w:rPr>
      </w:pPr>
      <w:r w:rsidRPr="00C82C97">
        <w:rPr>
          <w:rFonts w:ascii="Traditional Arabic" w:hAnsi="Traditional Arabic" w:cs="Traditional Arabic" w:hint="cs"/>
          <w:b/>
          <w:bCs/>
          <w:sz w:val="36"/>
          <w:szCs w:val="36"/>
          <w:rtl/>
          <w:lang w:bidi="ar-EG"/>
        </w:rPr>
        <w:t>4.إحترام مؤسسات الدولة</w:t>
      </w:r>
    </w:p>
    <w:p w14:paraId="552B12D0" w14:textId="77777777" w:rsidR="00167EA8" w:rsidRDefault="00167EA8" w:rsidP="00167EA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مما لاشك فيه أن تعزيز فكرة إحترام مؤسسات الدولة وخاصة السلطة التنفيذية أو السلطة التشريعية، تجد صداها إلى كل من تسول له نفسه ارتكاب الجرائم بغير وجه حق في المجتمع، أو بعبارة أخرى فإن الخوف من تطبيق عقوبة الإعدام سوف يدفع الأفراد الذين يوجد لديهم رغبات انتقامية من انزال العقوبة عليهم من السلطة التنفيذية، كما أن الخوف من المثول أمام المحاكم وجهاز النيابة العامة وأصحاب أولياء الدم سوف يحد بلاشك من تجرأ البعض على ارتكاب مثل هذه الجرائم بشكل كبير. كما </w:t>
      </w:r>
      <w:r w:rsidR="009B46E3">
        <w:rPr>
          <w:rFonts w:ascii="Traditional Arabic" w:hAnsi="Traditional Arabic" w:cs="Traditional Arabic" w:hint="cs"/>
          <w:sz w:val="36"/>
          <w:szCs w:val="36"/>
          <w:rtl/>
          <w:lang w:bidi="ar-EG"/>
        </w:rPr>
        <w:t xml:space="preserve">أحمد (2015) أكد </w:t>
      </w:r>
      <w:r>
        <w:rPr>
          <w:rFonts w:ascii="Traditional Arabic" w:hAnsi="Traditional Arabic" w:cs="Traditional Arabic" w:hint="cs"/>
          <w:sz w:val="36"/>
          <w:szCs w:val="36"/>
          <w:rtl/>
          <w:lang w:bidi="ar-EG"/>
        </w:rPr>
        <w:t xml:space="preserve">أن احترام مؤسسات الدولة لايكون بهذا الشكل فقط بل قد يحصل المظلوم على حقوقه كامله من خلال إستيفاء إجراءات التقاضي، وبالتالي فإن المستوي العام للجرائم سوف تتراجع بشكل كبير. ويري الباحث أن الخوف من ارتكاب الجرائم له عامل كبير في نفوس الناس ولكنه لايكبح جماح الجريمة، فالجرائم موجوده </w:t>
      </w:r>
      <w:r>
        <w:rPr>
          <w:rFonts w:ascii="Traditional Arabic" w:hAnsi="Traditional Arabic" w:cs="Traditional Arabic" w:hint="cs"/>
          <w:sz w:val="36"/>
          <w:szCs w:val="36"/>
          <w:rtl/>
          <w:lang w:bidi="ar-EG"/>
        </w:rPr>
        <w:lastRenderedPageBreak/>
        <w:t>في كل مجتمع وفي كل مكان إلا أنه لايوجد مجتمع خالى من الجرائم، لذلك فإن وجود مؤسسات الدولة تعتبر ضمانه أساسية للحفاظ على الأمن والسلم المجتمعي ولدرء المخاطر عن النفس البشرية للمجتمع ككل.</w:t>
      </w:r>
      <w:r>
        <w:rPr>
          <w:rStyle w:val="FootnoteReference"/>
          <w:rFonts w:ascii="Traditional Arabic" w:hAnsi="Traditional Arabic" w:cs="Traditional Arabic"/>
          <w:sz w:val="36"/>
          <w:szCs w:val="36"/>
          <w:rtl/>
          <w:lang w:bidi="ar-EG"/>
        </w:rPr>
        <w:footnoteReference w:id="22"/>
      </w:r>
      <w:r>
        <w:rPr>
          <w:rFonts w:ascii="Traditional Arabic" w:hAnsi="Traditional Arabic" w:cs="Traditional Arabic" w:hint="cs"/>
          <w:sz w:val="36"/>
          <w:szCs w:val="36"/>
          <w:rtl/>
          <w:lang w:bidi="ar-EG"/>
        </w:rPr>
        <w:t xml:space="preserve"> </w:t>
      </w:r>
    </w:p>
    <w:p w14:paraId="707D8E33" w14:textId="77777777" w:rsidR="00167EA8" w:rsidRDefault="00167EA8" w:rsidP="00167EA8">
      <w:pPr>
        <w:jc w:val="both"/>
        <w:rPr>
          <w:rFonts w:ascii="Traditional Arabic" w:hAnsi="Traditional Arabic" w:cs="Traditional Arabic"/>
          <w:b/>
          <w:bCs/>
          <w:sz w:val="36"/>
          <w:szCs w:val="36"/>
          <w:rtl/>
          <w:lang w:bidi="ar-EG"/>
        </w:rPr>
      </w:pPr>
      <w:r w:rsidRPr="00E92936">
        <w:rPr>
          <w:rFonts w:ascii="Traditional Arabic" w:hAnsi="Traditional Arabic" w:cs="Traditional Arabic" w:hint="cs"/>
          <w:b/>
          <w:bCs/>
          <w:sz w:val="36"/>
          <w:szCs w:val="36"/>
          <w:rtl/>
          <w:lang w:bidi="ar-EG"/>
        </w:rPr>
        <w:t>5.</w:t>
      </w:r>
      <w:r>
        <w:rPr>
          <w:rFonts w:ascii="Traditional Arabic" w:hAnsi="Traditional Arabic" w:cs="Traditional Arabic" w:hint="cs"/>
          <w:b/>
          <w:bCs/>
          <w:sz w:val="36"/>
          <w:szCs w:val="36"/>
          <w:rtl/>
          <w:lang w:bidi="ar-EG"/>
        </w:rPr>
        <w:t>تطبيق العقوبة على مرتكبيها (سواء الليبيين أو غير الليبيين)</w:t>
      </w:r>
    </w:p>
    <w:p w14:paraId="77BB91A4" w14:textId="2F00E410" w:rsidR="00BA188C" w:rsidRPr="006E4E02" w:rsidRDefault="00167EA8" w:rsidP="00F763B8">
      <w:pPr>
        <w:jc w:val="both"/>
        <w:rPr>
          <w:rFonts w:ascii="Traditional Arabic" w:hAnsi="Traditional Arabic" w:cs="Traditional Arabic"/>
          <w:color w:val="FF0000"/>
          <w:sz w:val="36"/>
          <w:szCs w:val="36"/>
          <w:rtl/>
          <w:lang w:bidi="ar-EG"/>
        </w:rPr>
      </w:pPr>
      <w:r w:rsidRPr="00E92936">
        <w:rPr>
          <w:rFonts w:ascii="Traditional Arabic" w:hAnsi="Traditional Arabic" w:cs="Traditional Arabic" w:hint="cs"/>
          <w:sz w:val="36"/>
          <w:szCs w:val="36"/>
          <w:rtl/>
          <w:lang w:bidi="ar-EG"/>
        </w:rPr>
        <w:t xml:space="preserve">من المؤكد أن المقيم على أراضي الدولة الليبية يطبق عليه القانون دون استثناء لأحد، وبالتالي فإن القانون الليبي لايمكن أن يستثني أحد من تطبيق العقوبة لمجرد أنه أجنبي مقيم بدولة ليبيا. </w:t>
      </w:r>
      <w:r>
        <w:rPr>
          <w:rFonts w:ascii="Traditional Arabic" w:hAnsi="Traditional Arabic" w:cs="Traditional Arabic" w:hint="cs"/>
          <w:sz w:val="36"/>
          <w:szCs w:val="36"/>
          <w:rtl/>
          <w:lang w:bidi="ar-EG"/>
        </w:rPr>
        <w:t xml:space="preserve">ومن ناحية أخرى فإن </w:t>
      </w:r>
      <w:r w:rsidR="009B46E3">
        <w:rPr>
          <w:rFonts w:ascii="Traditional Arabic" w:hAnsi="Traditional Arabic" w:cs="Traditional Arabic" w:hint="cs"/>
          <w:sz w:val="36"/>
          <w:szCs w:val="36"/>
          <w:rtl/>
          <w:lang w:bidi="ar-EG"/>
        </w:rPr>
        <w:t xml:space="preserve">عنبوسي (2015) أكد أن </w:t>
      </w:r>
      <w:r>
        <w:rPr>
          <w:rFonts w:ascii="Traditional Arabic" w:hAnsi="Traditional Arabic" w:cs="Traditional Arabic" w:hint="cs"/>
          <w:sz w:val="36"/>
          <w:szCs w:val="36"/>
          <w:rtl/>
          <w:lang w:bidi="ar-EG"/>
        </w:rPr>
        <w:t>تطبيق العقوبة مرهون بإرتكاب الشخص لجريمة تستوجب تطبيق عقوبة الإعدام بشكل واضح ومحدد ووفقاً للأدلة الثبوتيه ومن خلال شهادة الشهود وإقرار المتهم على نفسه. أما في حالة وجود أجنبي مرتكب للجريمة على الأراضي الليبية، فمن المؤكد أن السلطات الليبية تسمح لمندوب من السفارة التي يتبع إليها المتهم من متابعة سير القضايا دون محاولة التدخل أو التأثير على الحكم القائم أو التأثير على هيئة المحكمة لتغيير آرائها بشأن واقعة تستوجب تطبيق عقوبة الإعدام.</w:t>
      </w:r>
      <w:r>
        <w:rPr>
          <w:rStyle w:val="FootnoteReference"/>
          <w:rFonts w:ascii="Traditional Arabic" w:hAnsi="Traditional Arabic" w:cs="Traditional Arabic"/>
          <w:sz w:val="36"/>
          <w:szCs w:val="36"/>
          <w:rtl/>
          <w:lang w:bidi="ar-EG"/>
        </w:rPr>
        <w:footnoteReference w:id="23"/>
      </w:r>
      <w:r>
        <w:rPr>
          <w:rFonts w:ascii="Traditional Arabic" w:hAnsi="Traditional Arabic" w:cs="Traditional Arabic" w:hint="cs"/>
          <w:sz w:val="36"/>
          <w:szCs w:val="36"/>
          <w:rtl/>
          <w:lang w:bidi="ar-EG"/>
        </w:rPr>
        <w:t xml:space="preserve"> وتجدر الإشارة إلى أن القانون الليبي مستمد من الشريعة الإسلامية وبالتالي لاشفاعة في حدود الله، وبالتالي لايمكن أن يمكن أن تخضع السلطات لآية عملية ابتزاز سياسي مقابل تخفيف أو إلغاء عقوبة الإعدام. ومن بين أبرز مساؤي النظام الليبي السابق أنه تعرض لفكرة الإبتزاز السياسي من خلال ما قامت به الممرضات البلغاريات من قتل للأطفال الليبيين وحقنهم بحقن ملوثه أدت إلى إصابتهم بمرض الأيدز، وبالرغم من حصول عائلات الأطفال على تعويضات مالية كبيرة تطبيقاً لمبدأ الدية إلا أن الممرضات البلغاريات قد تم ترحيلهم دون وجه حق وفق صفقة سياسية مع النظام السابق لتخفبف حدة العقوبات الدولية على ليبيا أو لنيل رضا المجتمع الدولي، مما ساهم في تصعيد الغضب الشعبي تجاه تلك القضية</w:t>
      </w:r>
      <w:r w:rsidRPr="00F763B8">
        <w:rPr>
          <w:rFonts w:ascii="Traditional Arabic" w:hAnsi="Traditional Arabic" w:cs="Traditional Arabic" w:hint="cs"/>
          <w:sz w:val="36"/>
          <w:szCs w:val="36"/>
          <w:rtl/>
          <w:lang w:bidi="ar-EG"/>
        </w:rPr>
        <w:t xml:space="preserve"> </w:t>
      </w:r>
      <w:r w:rsidR="006E4E02" w:rsidRPr="00F763B8">
        <w:rPr>
          <w:rFonts w:ascii="Traditional Arabic" w:hAnsi="Traditional Arabic" w:cs="Traditional Arabic" w:hint="cs"/>
          <w:sz w:val="36"/>
          <w:szCs w:val="36"/>
          <w:rtl/>
          <w:lang w:bidi="ar-EG"/>
        </w:rPr>
        <w:t>(</w:t>
      </w:r>
      <w:r w:rsidR="00F763B8" w:rsidRPr="00F763B8">
        <w:rPr>
          <w:rFonts w:ascii="Traditional Arabic" w:hAnsi="Traditional Arabic" w:cs="Traditional Arabic"/>
          <w:sz w:val="36"/>
          <w:szCs w:val="36"/>
          <w:rtl/>
        </w:rPr>
        <w:t>أوغلو</w:t>
      </w:r>
      <w:r w:rsidR="00F763B8" w:rsidRPr="00F763B8">
        <w:rPr>
          <w:rFonts w:ascii="Traditional Arabic" w:hAnsi="Traditional Arabic" w:cs="Traditional Arabic" w:hint="cs"/>
          <w:sz w:val="36"/>
          <w:szCs w:val="36"/>
          <w:rtl/>
        </w:rPr>
        <w:t>، 2015</w:t>
      </w:r>
      <w:r w:rsidR="006E4E02" w:rsidRPr="00F763B8">
        <w:rPr>
          <w:rFonts w:ascii="Traditional Arabic" w:hAnsi="Traditional Arabic" w:cs="Traditional Arabic" w:hint="cs"/>
          <w:sz w:val="36"/>
          <w:szCs w:val="36"/>
          <w:rtl/>
          <w:lang w:bidi="ar-EG"/>
        </w:rPr>
        <w:t>)</w:t>
      </w:r>
      <w:r w:rsidR="00F763B8">
        <w:rPr>
          <w:rFonts w:ascii="Traditional Arabic" w:hAnsi="Traditional Arabic" w:cs="Traditional Arabic" w:hint="cs"/>
          <w:sz w:val="36"/>
          <w:szCs w:val="36"/>
          <w:rtl/>
          <w:lang w:bidi="ar-EG"/>
        </w:rPr>
        <w:t>.</w:t>
      </w:r>
    </w:p>
    <w:p w14:paraId="71CF3D1B" w14:textId="77777777" w:rsidR="00167EA8" w:rsidRDefault="00167EA8" w:rsidP="00167EA8">
      <w:pPr>
        <w:jc w:val="both"/>
        <w:rPr>
          <w:rFonts w:ascii="Traditional Arabic" w:hAnsi="Traditional Arabic" w:cs="Traditional Arabic"/>
          <w:b/>
          <w:bCs/>
          <w:sz w:val="36"/>
          <w:szCs w:val="36"/>
          <w:rtl/>
          <w:lang w:bidi="ar-EG"/>
        </w:rPr>
      </w:pPr>
      <w:r w:rsidRPr="005A563F">
        <w:rPr>
          <w:rFonts w:ascii="Traditional Arabic" w:hAnsi="Traditional Arabic" w:cs="Traditional Arabic" w:hint="cs"/>
          <w:b/>
          <w:bCs/>
          <w:sz w:val="36"/>
          <w:szCs w:val="36"/>
          <w:rtl/>
          <w:lang w:bidi="ar-EG"/>
        </w:rPr>
        <w:t xml:space="preserve">6.تطبيق عقوبة الإعدام </w:t>
      </w:r>
      <w:r>
        <w:rPr>
          <w:rFonts w:ascii="Traditional Arabic" w:hAnsi="Traditional Arabic" w:cs="Traditional Arabic" w:hint="cs"/>
          <w:b/>
          <w:bCs/>
          <w:sz w:val="36"/>
          <w:szCs w:val="36"/>
          <w:rtl/>
          <w:lang w:bidi="ar-EG"/>
        </w:rPr>
        <w:t xml:space="preserve">تحقيقاً للترسيخ فكرة العدالة الإجتماعية </w:t>
      </w:r>
    </w:p>
    <w:p w14:paraId="366830D1" w14:textId="77777777" w:rsidR="00167EA8" w:rsidRDefault="00167EA8" w:rsidP="00185F97">
      <w:pPr>
        <w:jc w:val="both"/>
        <w:rPr>
          <w:rFonts w:ascii="Traditional Arabic" w:hAnsi="Traditional Arabic" w:cs="Traditional Arabic"/>
          <w:sz w:val="36"/>
          <w:szCs w:val="36"/>
          <w:rtl/>
          <w:lang w:bidi="ar-EG"/>
        </w:rPr>
      </w:pPr>
      <w:r w:rsidRPr="003B2AA1">
        <w:rPr>
          <w:rFonts w:ascii="Traditional Arabic" w:hAnsi="Traditional Arabic" w:cs="Traditional Arabic" w:hint="cs"/>
          <w:sz w:val="36"/>
          <w:szCs w:val="36"/>
          <w:rtl/>
          <w:lang w:bidi="ar-EG"/>
        </w:rPr>
        <w:lastRenderedPageBreak/>
        <w:t xml:space="preserve">من المؤكد أن </w:t>
      </w:r>
      <w:r>
        <w:rPr>
          <w:rFonts w:ascii="Traditional Arabic" w:hAnsi="Traditional Arabic" w:cs="Traditional Arabic" w:hint="cs"/>
          <w:sz w:val="36"/>
          <w:szCs w:val="36"/>
          <w:rtl/>
          <w:lang w:bidi="ar-EG"/>
        </w:rPr>
        <w:t>تطبيق عقوبة الإعدام جاءت لتحقيق العدالة الإجتماعية، فالعدالة الإجتماعية تقتضي القصاص من الظالم وتطبيق العقوبة عليه شفاءاً لصدور المظلومين وعائلاتهم والحصول على الدية الملائمة وفقاً لقانون القصاص والدية المعمول به في ليبيا والمستمد من الشريعة الإسلامية، كما أن</w:t>
      </w:r>
      <w:r w:rsidR="006E4E02">
        <w:rPr>
          <w:rFonts w:ascii="Traditional Arabic" w:hAnsi="Traditional Arabic" w:cs="Traditional Arabic" w:hint="cs"/>
          <w:sz w:val="36"/>
          <w:szCs w:val="36"/>
          <w:rtl/>
          <w:lang w:bidi="ar-EG"/>
        </w:rPr>
        <w:t xml:space="preserve"> المصاروه (2016) أكد أن</w:t>
      </w:r>
      <w:r>
        <w:rPr>
          <w:rFonts w:ascii="Traditional Arabic" w:hAnsi="Traditional Arabic" w:cs="Traditional Arabic" w:hint="cs"/>
          <w:sz w:val="36"/>
          <w:szCs w:val="36"/>
          <w:rtl/>
          <w:lang w:bidi="ar-EG"/>
        </w:rPr>
        <w:t xml:space="preserve"> انتقام المجتمع من الظالم وتوقيع العقوبة عليه جراء ما اقترف من ذنوب هو ترسبخ لفكرة العدالة الإجتماعية التي أكدت عليها نصوص القرآن الكريم والسنة النبوية المطهرة وأكدت عليها الأحكام الشرعية</w:t>
      </w:r>
      <w:r w:rsidR="006E4E02">
        <w:rPr>
          <w:rFonts w:ascii="Traditional Arabic" w:hAnsi="Traditional Arabic" w:cs="Traditional Arabic" w:hint="cs"/>
          <w:sz w:val="36"/>
          <w:szCs w:val="36"/>
          <w:rtl/>
          <w:lang w:bidi="ar-EG"/>
        </w:rPr>
        <w:t>.</w:t>
      </w:r>
      <w:r w:rsidR="006E4E02">
        <w:rPr>
          <w:rStyle w:val="FootnoteReference"/>
          <w:rFonts w:ascii="Traditional Arabic" w:hAnsi="Traditional Arabic" w:cs="Traditional Arabic"/>
          <w:sz w:val="36"/>
          <w:szCs w:val="36"/>
          <w:rtl/>
          <w:lang w:bidi="ar-EG"/>
        </w:rPr>
        <w:footnoteReference w:id="24"/>
      </w:r>
      <w:r>
        <w:rPr>
          <w:rFonts w:ascii="Traditional Arabic" w:hAnsi="Traditional Arabic" w:cs="Traditional Arabic" w:hint="cs"/>
          <w:sz w:val="36"/>
          <w:szCs w:val="36"/>
          <w:rtl/>
          <w:lang w:bidi="ar-EG"/>
        </w:rPr>
        <w:t xml:space="preserve"> حيث قال الله عز وجل في محكم التنزيل: </w:t>
      </w:r>
      <w:r>
        <w:rPr>
          <w:rFonts w:ascii="Traditional Arabic" w:hAnsi="Traditional Arabic" w:cs="Traditional Arabic"/>
          <w:sz w:val="36"/>
          <w:szCs w:val="36"/>
          <w:rtl/>
          <w:lang w:bidi="ar-EG"/>
        </w:rPr>
        <w:t>﴿</w:t>
      </w:r>
      <w:r w:rsidRPr="003B2AA1">
        <w:rPr>
          <w:rFonts w:ascii="Traditional Arabic" w:hAnsi="Traditional Arabic" w:cs="Traditional Arabic"/>
          <w:sz w:val="36"/>
          <w:szCs w:val="36"/>
          <w:rtl/>
          <w:lang w:bidi="ar-EG"/>
        </w:rPr>
        <w:t xml:space="preserve">جَزَاءً بِمَا كَسَبَا نَكَالًا مِّنَ اللَّهِ </w:t>
      </w:r>
      <w:r w:rsidRPr="003B2AA1">
        <w:rPr>
          <w:rFonts w:hint="cs"/>
          <w:sz w:val="36"/>
          <w:szCs w:val="36"/>
          <w:rtl/>
          <w:lang w:bidi="ar-EG"/>
        </w:rPr>
        <w:t>ۗ</w:t>
      </w:r>
      <w:r w:rsidRPr="003B2AA1">
        <w:rPr>
          <w:rFonts w:ascii="Traditional Arabic" w:hAnsi="Traditional Arabic" w:cs="Traditional Arabic"/>
          <w:sz w:val="36"/>
          <w:szCs w:val="36"/>
          <w:rtl/>
          <w:lang w:bidi="ar-EG"/>
        </w:rPr>
        <w:t xml:space="preserve"> </w:t>
      </w:r>
      <w:r w:rsidRPr="003B2AA1">
        <w:rPr>
          <w:rFonts w:ascii="Traditional Arabic" w:hAnsi="Traditional Arabic" w:cs="Traditional Arabic" w:hint="cs"/>
          <w:sz w:val="36"/>
          <w:szCs w:val="36"/>
          <w:rtl/>
          <w:lang w:bidi="ar-EG"/>
        </w:rPr>
        <w:t>وَاللَّهُ</w:t>
      </w:r>
      <w:r w:rsidRPr="003B2AA1">
        <w:rPr>
          <w:rFonts w:ascii="Traditional Arabic" w:hAnsi="Traditional Arabic" w:cs="Traditional Arabic"/>
          <w:sz w:val="36"/>
          <w:szCs w:val="36"/>
          <w:rtl/>
          <w:lang w:bidi="ar-EG"/>
        </w:rPr>
        <w:t xml:space="preserve"> </w:t>
      </w:r>
      <w:r w:rsidRPr="003B2AA1">
        <w:rPr>
          <w:rFonts w:ascii="Traditional Arabic" w:hAnsi="Traditional Arabic" w:cs="Traditional Arabic" w:hint="cs"/>
          <w:sz w:val="36"/>
          <w:szCs w:val="36"/>
          <w:rtl/>
          <w:lang w:bidi="ar-EG"/>
        </w:rPr>
        <w:t>عَزِيزٌ</w:t>
      </w:r>
      <w:r w:rsidRPr="003B2AA1">
        <w:rPr>
          <w:rFonts w:ascii="Traditional Arabic" w:hAnsi="Traditional Arabic" w:cs="Traditional Arabic"/>
          <w:sz w:val="36"/>
          <w:szCs w:val="36"/>
          <w:rtl/>
          <w:lang w:bidi="ar-EG"/>
        </w:rPr>
        <w:t xml:space="preserve"> </w:t>
      </w:r>
      <w:r w:rsidRPr="003B2AA1">
        <w:rPr>
          <w:rFonts w:ascii="Traditional Arabic" w:hAnsi="Traditional Arabic" w:cs="Traditional Arabic" w:hint="cs"/>
          <w:sz w:val="36"/>
          <w:szCs w:val="36"/>
          <w:rtl/>
          <w:lang w:bidi="ar-EG"/>
        </w:rPr>
        <w:t>حَكِيمٌ</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25"/>
      </w:r>
    </w:p>
    <w:p w14:paraId="56258D14" w14:textId="77777777" w:rsidR="00167EA8" w:rsidRPr="00BD18D3" w:rsidRDefault="00167EA8" w:rsidP="00167EA8">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الجرائم </w:t>
      </w:r>
      <w:r w:rsidRPr="00BD18D3">
        <w:rPr>
          <w:rFonts w:ascii="Traditional Arabic" w:hAnsi="Traditional Arabic" w:cs="Traditional Arabic" w:hint="cs"/>
          <w:b/>
          <w:bCs/>
          <w:sz w:val="36"/>
          <w:szCs w:val="36"/>
          <w:rtl/>
          <w:lang w:bidi="ar-EG"/>
        </w:rPr>
        <w:t>التي يجب تطبيق عقوبة الإعدام</w:t>
      </w:r>
      <w:r w:rsidR="00EF4C27">
        <w:rPr>
          <w:rFonts w:ascii="Traditional Arabic" w:hAnsi="Traditional Arabic" w:cs="Traditional Arabic" w:hint="cs"/>
          <w:b/>
          <w:bCs/>
          <w:sz w:val="36"/>
          <w:szCs w:val="36"/>
          <w:rtl/>
          <w:lang w:bidi="ar-EG"/>
        </w:rPr>
        <w:t xml:space="preserve"> عليها</w:t>
      </w:r>
      <w:r w:rsidRPr="00BD18D3">
        <w:rPr>
          <w:rFonts w:ascii="Traditional Arabic" w:hAnsi="Traditional Arabic" w:cs="Traditional Arabic" w:hint="cs"/>
          <w:b/>
          <w:bCs/>
          <w:sz w:val="36"/>
          <w:szCs w:val="36"/>
          <w:rtl/>
          <w:lang w:bidi="ar-EG"/>
        </w:rPr>
        <w:t>.</w:t>
      </w:r>
    </w:p>
    <w:p w14:paraId="79A21938" w14:textId="77777777" w:rsidR="006E4E02" w:rsidRDefault="00EF4C27" w:rsidP="00BA188C">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ترتكز الجرائم التي يجب تطبيق عقوبة الإعدام عليها</w:t>
      </w:r>
      <w:r w:rsidR="00167EA8">
        <w:rPr>
          <w:rFonts w:ascii="Traditional Arabic" w:hAnsi="Traditional Arabic" w:cs="Traditional Arabic" w:hint="cs"/>
          <w:sz w:val="36"/>
          <w:szCs w:val="36"/>
          <w:rtl/>
          <w:lang w:bidi="ar-EG"/>
        </w:rPr>
        <w:t xml:space="preserve"> تطبيق عقوبة الإعدام </w:t>
      </w:r>
      <w:r>
        <w:rPr>
          <w:rFonts w:ascii="Traditional Arabic" w:hAnsi="Traditional Arabic" w:cs="Traditional Arabic" w:hint="cs"/>
          <w:sz w:val="36"/>
          <w:szCs w:val="36"/>
          <w:rtl/>
          <w:lang w:bidi="ar-EG"/>
        </w:rPr>
        <w:t xml:space="preserve">على ارتكابها من بعدين رئيسيين هما تطبيق عقوبة الإعدام من </w:t>
      </w:r>
      <w:r w:rsidR="00167EA8">
        <w:rPr>
          <w:rFonts w:ascii="Traditional Arabic" w:hAnsi="Traditional Arabic" w:cs="Traditional Arabic" w:hint="cs"/>
          <w:sz w:val="36"/>
          <w:szCs w:val="36"/>
          <w:rtl/>
          <w:lang w:bidi="ar-EG"/>
        </w:rPr>
        <w:t xml:space="preserve">منظور الشريعة الإسلامية، </w:t>
      </w:r>
      <w:r>
        <w:rPr>
          <w:rFonts w:ascii="Traditional Arabic" w:hAnsi="Traditional Arabic" w:cs="Traditional Arabic" w:hint="cs"/>
          <w:sz w:val="36"/>
          <w:szCs w:val="36"/>
          <w:rtl/>
          <w:lang w:bidi="ar-EG"/>
        </w:rPr>
        <w:t>والبعد الأخر هو</w:t>
      </w:r>
      <w:r w:rsidR="00167EA8">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التعرف على </w:t>
      </w:r>
      <w:r w:rsidR="00167EA8">
        <w:rPr>
          <w:rFonts w:ascii="Traditional Arabic" w:hAnsi="Traditional Arabic" w:cs="Traditional Arabic" w:hint="cs"/>
          <w:sz w:val="36"/>
          <w:szCs w:val="36"/>
          <w:rtl/>
          <w:lang w:bidi="ar-EG"/>
        </w:rPr>
        <w:t xml:space="preserve">الحالات التي يجب تطبيق عقوبة الإعدام في القانون الليبي. </w:t>
      </w:r>
    </w:p>
    <w:p w14:paraId="5AAE7B31" w14:textId="77777777" w:rsidR="00167EA8" w:rsidRDefault="00167EA8" w:rsidP="00167EA8">
      <w:pPr>
        <w:tabs>
          <w:tab w:val="left" w:pos="1604"/>
        </w:tabs>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تطبيق عقوبة الإعدام في الشريعة الإسلامية</w:t>
      </w:r>
    </w:p>
    <w:p w14:paraId="1D1961DD" w14:textId="5A64F523" w:rsidR="00F763B8" w:rsidRDefault="00167EA8" w:rsidP="00F763B8">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لقد صنف القرآن الكريم والسنة النبوية المطهرة الجرائم التي تقضي بتطبيق عقوبة الإعدام إلى العديد من التصنيفات منها جرائم متعلقه بتطبيق القصاص العادل وجرائم متعلقه بتطبيق الحدود وجرائم متعلقه بالتعزير وجرائم متعلقه بالغيله. </w:t>
      </w:r>
    </w:p>
    <w:p w14:paraId="3E125143" w14:textId="77777777" w:rsidR="00167EA8" w:rsidRPr="003850C3" w:rsidRDefault="00167EA8" w:rsidP="00167EA8">
      <w:pPr>
        <w:tabs>
          <w:tab w:val="left" w:pos="1604"/>
        </w:tabs>
        <w:jc w:val="both"/>
        <w:rPr>
          <w:rFonts w:ascii="Traditional Arabic" w:hAnsi="Traditional Arabic" w:cs="Traditional Arabic"/>
          <w:b/>
          <w:bCs/>
          <w:sz w:val="36"/>
          <w:szCs w:val="36"/>
          <w:rtl/>
          <w:lang w:bidi="ar-EG"/>
        </w:rPr>
      </w:pPr>
      <w:r w:rsidRPr="003850C3">
        <w:rPr>
          <w:rFonts w:ascii="Traditional Arabic" w:hAnsi="Traditional Arabic" w:cs="Traditional Arabic" w:hint="cs"/>
          <w:b/>
          <w:bCs/>
          <w:sz w:val="36"/>
          <w:szCs w:val="36"/>
          <w:rtl/>
          <w:lang w:bidi="ar-EG"/>
        </w:rPr>
        <w:t xml:space="preserve">أولاً: جرائم </w:t>
      </w:r>
      <w:r>
        <w:rPr>
          <w:rFonts w:ascii="Traditional Arabic" w:hAnsi="Traditional Arabic" w:cs="Traditional Arabic" w:hint="cs"/>
          <w:b/>
          <w:bCs/>
          <w:sz w:val="36"/>
          <w:szCs w:val="36"/>
          <w:rtl/>
          <w:lang w:bidi="ar-EG"/>
        </w:rPr>
        <w:t xml:space="preserve">تستلزم </w:t>
      </w:r>
      <w:r w:rsidRPr="003850C3">
        <w:rPr>
          <w:rFonts w:ascii="Traditional Arabic" w:hAnsi="Traditional Arabic" w:cs="Traditional Arabic" w:hint="cs"/>
          <w:b/>
          <w:bCs/>
          <w:sz w:val="36"/>
          <w:szCs w:val="36"/>
          <w:rtl/>
          <w:lang w:bidi="ar-EG"/>
        </w:rPr>
        <w:t>تطبيق القصاص العادل</w:t>
      </w:r>
    </w:p>
    <w:p w14:paraId="5B896D38" w14:textId="6E1D337A" w:rsidR="00BA188C" w:rsidRDefault="00546FB6" w:rsidP="00F763B8">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أشار الزمخشري (1987)</w:t>
      </w:r>
      <w:r w:rsidR="00167EA8">
        <w:rPr>
          <w:rFonts w:ascii="Traditional Arabic" w:hAnsi="Traditional Arabic" w:cs="Traditional Arabic" w:hint="cs"/>
          <w:sz w:val="36"/>
          <w:szCs w:val="36"/>
          <w:rtl/>
          <w:lang w:bidi="ar-EG"/>
        </w:rPr>
        <w:t xml:space="preserve"> إلى</w:t>
      </w:r>
      <w:r>
        <w:rPr>
          <w:rFonts w:ascii="Traditional Arabic" w:hAnsi="Traditional Arabic" w:cs="Traditional Arabic" w:hint="cs"/>
          <w:sz w:val="36"/>
          <w:szCs w:val="36"/>
          <w:rtl/>
          <w:lang w:bidi="ar-EG"/>
        </w:rPr>
        <w:t xml:space="preserve"> أن</w:t>
      </w:r>
      <w:r w:rsidR="00167EA8">
        <w:rPr>
          <w:rFonts w:ascii="Traditional Arabic" w:hAnsi="Traditional Arabic" w:cs="Traditional Arabic" w:hint="cs"/>
          <w:sz w:val="36"/>
          <w:szCs w:val="36"/>
          <w:rtl/>
          <w:lang w:bidi="ar-EG"/>
        </w:rPr>
        <w:t xml:space="preserve"> المفهوم اللغوي في القصاص هو الإقتصاص في الجراح أو فقد الشئ بنفس الطريقة التي فقد بها أو إتلافه عمداً بنفس الأسلوب التي أتلفه بها الجاني.</w:t>
      </w:r>
      <w:r w:rsidR="00167EA8">
        <w:rPr>
          <w:rStyle w:val="FootnoteReference"/>
          <w:rFonts w:ascii="Traditional Arabic" w:hAnsi="Traditional Arabic" w:cs="Traditional Arabic"/>
          <w:sz w:val="36"/>
          <w:szCs w:val="36"/>
          <w:rtl/>
          <w:lang w:bidi="ar-EG"/>
        </w:rPr>
        <w:footnoteReference w:id="26"/>
      </w:r>
      <w:r w:rsidR="00167EA8">
        <w:rPr>
          <w:rFonts w:ascii="Traditional Arabic" w:hAnsi="Traditional Arabic" w:cs="Traditional Arabic" w:hint="cs"/>
          <w:sz w:val="36"/>
          <w:szCs w:val="36"/>
          <w:rtl/>
          <w:lang w:bidi="ar-EG"/>
        </w:rPr>
        <w:t xml:space="preserve"> أما </w:t>
      </w:r>
      <w:r>
        <w:rPr>
          <w:rFonts w:ascii="Traditional Arabic" w:hAnsi="Traditional Arabic" w:cs="Traditional Arabic" w:hint="cs"/>
          <w:sz w:val="36"/>
          <w:szCs w:val="36"/>
          <w:rtl/>
          <w:lang w:bidi="ar-EG"/>
        </w:rPr>
        <w:t xml:space="preserve"> سيده (1377) فقد عرف </w:t>
      </w:r>
      <w:r w:rsidR="00167EA8">
        <w:rPr>
          <w:rFonts w:ascii="Traditional Arabic" w:hAnsi="Traditional Arabic" w:cs="Traditional Arabic" w:hint="cs"/>
          <w:sz w:val="36"/>
          <w:szCs w:val="36"/>
          <w:rtl/>
          <w:lang w:bidi="ar-EG"/>
        </w:rPr>
        <w:t xml:space="preserve">القصاص في الإصطلاح </w:t>
      </w:r>
      <w:r>
        <w:rPr>
          <w:rFonts w:ascii="Traditional Arabic" w:hAnsi="Traditional Arabic" w:cs="Traditional Arabic" w:hint="cs"/>
          <w:sz w:val="36"/>
          <w:szCs w:val="36"/>
          <w:rtl/>
          <w:lang w:bidi="ar-EG"/>
        </w:rPr>
        <w:t>بأنه</w:t>
      </w:r>
      <w:r w:rsidR="00167EA8">
        <w:rPr>
          <w:rFonts w:ascii="Traditional Arabic" w:hAnsi="Traditional Arabic" w:cs="Traditional Arabic" w:hint="cs"/>
          <w:sz w:val="36"/>
          <w:szCs w:val="36"/>
          <w:rtl/>
          <w:lang w:bidi="ar-EG"/>
        </w:rPr>
        <w:t xml:space="preserve"> القيام بالفعل وحصول الفاعل على الجزاء بمثل ما فعل على أن </w:t>
      </w:r>
      <w:r w:rsidR="00167EA8">
        <w:rPr>
          <w:rFonts w:ascii="Traditional Arabic" w:hAnsi="Traditional Arabic" w:cs="Traditional Arabic" w:hint="cs"/>
          <w:sz w:val="36"/>
          <w:szCs w:val="36"/>
          <w:rtl/>
          <w:lang w:bidi="ar-EG"/>
        </w:rPr>
        <w:lastRenderedPageBreak/>
        <w:t>يفعل به بنفس الطريقة التي فعل بها.</w:t>
      </w:r>
      <w:r w:rsidR="00167EA8">
        <w:rPr>
          <w:rStyle w:val="FootnoteReference"/>
          <w:rFonts w:ascii="Traditional Arabic" w:hAnsi="Traditional Arabic" w:cs="Traditional Arabic"/>
          <w:sz w:val="36"/>
          <w:szCs w:val="36"/>
          <w:rtl/>
          <w:lang w:bidi="ar-EG"/>
        </w:rPr>
        <w:footnoteReference w:id="27"/>
      </w:r>
      <w:r w:rsidR="00167EA8">
        <w:rPr>
          <w:rFonts w:ascii="Traditional Arabic" w:hAnsi="Traditional Arabic" w:cs="Traditional Arabic" w:hint="cs"/>
          <w:sz w:val="36"/>
          <w:szCs w:val="36"/>
          <w:rtl/>
          <w:lang w:bidi="ar-EG"/>
        </w:rPr>
        <w:t xml:space="preserve"> ومن الجدير بالذكر أن هناك العديد من الآيات القرآنية التي أشارت إلى تطبيق جرائم القصاص بشكل مباشر حيث قال الله تعالي في محكم التنزيل: </w:t>
      </w:r>
      <w:r w:rsidR="00167EA8">
        <w:rPr>
          <w:rFonts w:ascii="Traditional Arabic" w:hAnsi="Traditional Arabic" w:cs="Traditional Arabic"/>
          <w:sz w:val="36"/>
          <w:szCs w:val="36"/>
          <w:rtl/>
          <w:lang w:bidi="ar-EG"/>
        </w:rPr>
        <w:t>﴿</w:t>
      </w:r>
      <w:r w:rsidR="00167EA8" w:rsidRPr="003850C3">
        <w:rPr>
          <w:rFonts w:ascii="Traditional Arabic" w:hAnsi="Traditional Arabic" w:cs="Traditional Arabic"/>
          <w:sz w:val="36"/>
          <w:szCs w:val="36"/>
          <w:rtl/>
          <w:lang w:bidi="ar-EG"/>
        </w:rPr>
        <w:t xml:space="preserve">يَا أَيُّهَا الَّذِينَ آمَنُوا كُتِبَ عَلَيْكُمُ الْقِصَاصُ فِي الْقَتْلَى </w:t>
      </w:r>
      <w:r w:rsidR="00167EA8" w:rsidRPr="003850C3">
        <w:rPr>
          <w:rFonts w:hint="cs"/>
          <w:sz w:val="36"/>
          <w:szCs w:val="36"/>
          <w:rtl/>
          <w:lang w:bidi="ar-EG"/>
        </w:rPr>
        <w:t>ۖ</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الْحُرُّ</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بِالْحُرِّ</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وَالْعَبْدُ</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بِالْعَبْدِ</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وَالْأُنثَىٰ</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بِالْأُنثَىٰ</w:t>
      </w:r>
      <w:r w:rsidR="00167EA8" w:rsidRPr="003850C3">
        <w:rPr>
          <w:rFonts w:ascii="Traditional Arabic" w:hAnsi="Traditional Arabic" w:cs="Traditional Arabic"/>
          <w:sz w:val="36"/>
          <w:szCs w:val="36"/>
          <w:rtl/>
          <w:lang w:bidi="ar-EG"/>
        </w:rPr>
        <w:t xml:space="preserve"> </w:t>
      </w:r>
      <w:r w:rsidR="00167EA8" w:rsidRPr="003850C3">
        <w:rPr>
          <w:rFonts w:hint="cs"/>
          <w:sz w:val="36"/>
          <w:szCs w:val="36"/>
          <w:rtl/>
          <w:lang w:bidi="ar-EG"/>
        </w:rPr>
        <w:t>ۚ</w:t>
      </w:r>
      <w:r w:rsidR="00167EA8" w:rsidRPr="003850C3">
        <w:rPr>
          <w:rFonts w:ascii="Traditional Arabic" w:hAnsi="Traditional Arabic" w:cs="Traditional Arabic"/>
          <w:sz w:val="36"/>
          <w:szCs w:val="36"/>
          <w:rtl/>
          <w:lang w:bidi="ar-EG"/>
        </w:rPr>
        <w:t xml:space="preserve"> فَمَنْ عُفِيَ لَهُ مِنْ أَخِيهِ شَيْءٌ فَاتِّبَاعٌ بِالْمَعْرُوفِ وَأَدَاءٌ إِلَيْهِ بِإِحْسَانٍ </w:t>
      </w:r>
      <w:r w:rsidR="00167EA8" w:rsidRPr="003850C3">
        <w:rPr>
          <w:rFonts w:hint="cs"/>
          <w:sz w:val="36"/>
          <w:szCs w:val="36"/>
          <w:rtl/>
          <w:lang w:bidi="ar-EG"/>
        </w:rPr>
        <w:t>ۗ</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ذَٰلِكَ</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تَخْفِيفٌ</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مِّن</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رَّبِّكُمْ</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وَرَحْمَةٌ</w:t>
      </w:r>
      <w:r w:rsidR="00167EA8" w:rsidRPr="003850C3">
        <w:rPr>
          <w:rFonts w:ascii="Traditional Arabic" w:hAnsi="Traditional Arabic" w:cs="Traditional Arabic"/>
          <w:sz w:val="36"/>
          <w:szCs w:val="36"/>
          <w:rtl/>
          <w:lang w:bidi="ar-EG"/>
        </w:rPr>
        <w:t xml:space="preserve"> </w:t>
      </w:r>
      <w:r w:rsidR="00167EA8" w:rsidRPr="003850C3">
        <w:rPr>
          <w:rFonts w:hint="cs"/>
          <w:sz w:val="36"/>
          <w:szCs w:val="36"/>
          <w:rtl/>
          <w:lang w:bidi="ar-EG"/>
        </w:rPr>
        <w:t>ۗ</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فَمَنِ</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اعْتَدَىٰ</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بَعْدَ</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ذَٰلِكَ</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فَلَهُ</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عَذَابٌ</w:t>
      </w:r>
      <w:r w:rsidR="00167EA8" w:rsidRPr="003850C3">
        <w:rPr>
          <w:rFonts w:ascii="Traditional Arabic" w:hAnsi="Traditional Arabic" w:cs="Traditional Arabic"/>
          <w:sz w:val="36"/>
          <w:szCs w:val="36"/>
          <w:rtl/>
          <w:lang w:bidi="ar-EG"/>
        </w:rPr>
        <w:t xml:space="preserve"> </w:t>
      </w:r>
      <w:r w:rsidR="00167EA8" w:rsidRPr="003850C3">
        <w:rPr>
          <w:rFonts w:ascii="Traditional Arabic" w:hAnsi="Traditional Arabic" w:cs="Traditional Arabic" w:hint="cs"/>
          <w:sz w:val="36"/>
          <w:szCs w:val="36"/>
          <w:rtl/>
          <w:lang w:bidi="ar-EG"/>
        </w:rPr>
        <w:t>أَلِيمٌ</w:t>
      </w:r>
      <w:r w:rsidR="00167EA8" w:rsidRPr="004F11B1">
        <w:rPr>
          <w:rFonts w:ascii="Traditional Arabic" w:hAnsi="Traditional Arabic" w:cs="Traditional Arabic"/>
          <w:sz w:val="36"/>
          <w:szCs w:val="36"/>
          <w:rtl/>
          <w:lang w:bidi="ar-EG"/>
        </w:rPr>
        <w:t>﴾</w:t>
      </w:r>
      <w:r w:rsidR="00167EA8">
        <w:rPr>
          <w:rFonts w:ascii="Traditional Arabic" w:hAnsi="Traditional Arabic" w:cs="Traditional Arabic" w:hint="cs"/>
          <w:sz w:val="36"/>
          <w:szCs w:val="36"/>
          <w:rtl/>
          <w:lang w:bidi="ar-EG"/>
        </w:rPr>
        <w:t>.</w:t>
      </w:r>
      <w:r w:rsidR="00167EA8">
        <w:rPr>
          <w:rStyle w:val="FootnoteReference"/>
          <w:rFonts w:ascii="Traditional Arabic" w:hAnsi="Traditional Arabic" w:cs="Traditional Arabic"/>
          <w:sz w:val="36"/>
          <w:szCs w:val="36"/>
          <w:rtl/>
          <w:lang w:bidi="ar-EG"/>
        </w:rPr>
        <w:footnoteReference w:id="28"/>
      </w:r>
      <w:r w:rsidR="00167EA8">
        <w:rPr>
          <w:rFonts w:ascii="Traditional Arabic" w:hAnsi="Traditional Arabic" w:cs="Traditional Arabic" w:hint="cs"/>
          <w:sz w:val="36"/>
          <w:szCs w:val="36"/>
          <w:rtl/>
          <w:lang w:bidi="ar-EG"/>
        </w:rPr>
        <w:t xml:space="preserve"> ولقد خاطب الله عز وجل المؤمنين أن يقوموا بالقصاص العادل تجاه من ارتكب جريمة القتل العمد جزاء لما ارتكب من جرم، على أن يحقق الشروط السابقة الحر بالحر والعبد بالعبد والأنثي بالأنثي، كما أشارت الآية الكريمة أنه يجب اتباع المعروف وأداء الدية لأهل المقتول والأداء بإحسان وأن يكون العطاء مضاعف تخفيفاً من الله عز وجل للقاتل ولأهل المقتول. </w:t>
      </w:r>
      <w:r w:rsidRPr="00546FB6">
        <w:rPr>
          <w:rFonts w:ascii="Traditional Arabic" w:hAnsi="Traditional Arabic" w:cs="Traditional Arabic" w:hint="cs"/>
          <w:sz w:val="32"/>
          <w:szCs w:val="32"/>
          <w:rtl/>
          <w:lang w:bidi="ar-EG"/>
        </w:rPr>
        <w:t xml:space="preserve">أشار </w:t>
      </w:r>
      <w:r w:rsidRPr="00546FB6">
        <w:rPr>
          <w:rFonts w:ascii="Traditional Arabic" w:hAnsi="Traditional Arabic" w:cs="Traditional Arabic"/>
          <w:sz w:val="32"/>
          <w:szCs w:val="32"/>
          <w:rtl/>
        </w:rPr>
        <w:t>البدارين</w:t>
      </w:r>
      <w:r w:rsidRPr="00546FB6">
        <w:rPr>
          <w:rFonts w:ascii="Traditional Arabic" w:hAnsi="Traditional Arabic" w:cs="Traditional Arabic" w:hint="cs"/>
          <w:sz w:val="32"/>
          <w:szCs w:val="32"/>
          <w:rtl/>
        </w:rPr>
        <w:t xml:space="preserve"> (2020)</w:t>
      </w:r>
      <w:r w:rsidR="00167EA8">
        <w:rPr>
          <w:rFonts w:ascii="Traditional Arabic" w:hAnsi="Traditional Arabic" w:cs="Traditional Arabic" w:hint="cs"/>
          <w:sz w:val="36"/>
          <w:szCs w:val="36"/>
          <w:rtl/>
          <w:lang w:bidi="ar-EG"/>
        </w:rPr>
        <w:t xml:space="preserve"> أن السنة النبوية المطهرة قد أكدت على ضرورة القصاص إمتثالاً لأوامر الله عز وجل وتحقيقاً للعدل والسلم الإجتماعي.</w:t>
      </w:r>
      <w:r w:rsidR="00167EA8">
        <w:rPr>
          <w:rStyle w:val="FootnoteReference"/>
          <w:rFonts w:ascii="Traditional Arabic" w:hAnsi="Traditional Arabic" w:cs="Traditional Arabic"/>
          <w:sz w:val="36"/>
          <w:szCs w:val="36"/>
          <w:rtl/>
          <w:lang w:bidi="ar-EG"/>
        </w:rPr>
        <w:footnoteReference w:id="29"/>
      </w:r>
      <w:r w:rsidR="00167EA8">
        <w:rPr>
          <w:rFonts w:ascii="Traditional Arabic" w:hAnsi="Traditional Arabic" w:cs="Traditional Arabic" w:hint="cs"/>
          <w:sz w:val="36"/>
          <w:szCs w:val="36"/>
          <w:rtl/>
          <w:lang w:bidi="ar-EG"/>
        </w:rPr>
        <w:t xml:space="preserve"> </w:t>
      </w:r>
      <w:r w:rsidR="00167EA8" w:rsidRPr="00302ADA">
        <w:rPr>
          <w:rFonts w:ascii="Traditional Arabic" w:hAnsi="Traditional Arabic" w:cs="Traditional Arabic"/>
          <w:sz w:val="36"/>
          <w:szCs w:val="36"/>
          <w:rtl/>
          <w:lang w:bidi="ar-EG"/>
        </w:rPr>
        <w:t>عن عبد الله بن مسعود رضي الله عنه قال</w:t>
      </w:r>
      <w:r w:rsidR="00167EA8">
        <w:rPr>
          <w:rFonts w:ascii="Traditional Arabic" w:hAnsi="Traditional Arabic" w:cs="Traditional Arabic"/>
          <w:sz w:val="36"/>
          <w:szCs w:val="36"/>
          <w:rtl/>
          <w:lang w:bidi="ar-EG"/>
        </w:rPr>
        <w:t>﴿</w:t>
      </w:r>
      <w:r w:rsidR="00167EA8" w:rsidRPr="00302ADA">
        <w:rPr>
          <w:rFonts w:ascii="Traditional Arabic" w:hAnsi="Traditional Arabic" w:cs="Traditional Arabic"/>
          <w:sz w:val="36"/>
          <w:szCs w:val="36"/>
          <w:rtl/>
          <w:lang w:bidi="ar-EG"/>
        </w:rPr>
        <w:t>قال رسول الله صلى الله عليه وسلم: «لا يحل دم امرئ مسلم إلا بإحدى ثلاث: الثيب الزاني، والنفس بالنفس، والتارك لدينه المفارق للجماعة</w:t>
      </w:r>
      <w:r w:rsidR="00167EA8" w:rsidRPr="004F11B1">
        <w:rPr>
          <w:rFonts w:ascii="Traditional Arabic" w:hAnsi="Traditional Arabic" w:cs="Traditional Arabic"/>
          <w:sz w:val="36"/>
          <w:szCs w:val="36"/>
          <w:rtl/>
          <w:lang w:bidi="ar-EG"/>
        </w:rPr>
        <w:t>﴾</w:t>
      </w:r>
      <w:r w:rsidR="00167EA8">
        <w:rPr>
          <w:rFonts w:ascii="Traditional Arabic" w:hAnsi="Traditional Arabic" w:cs="Traditional Arabic" w:hint="cs"/>
          <w:sz w:val="36"/>
          <w:szCs w:val="36"/>
          <w:rtl/>
          <w:lang w:bidi="ar-EG"/>
        </w:rPr>
        <w:t>.</w:t>
      </w:r>
      <w:r w:rsidR="00167EA8">
        <w:rPr>
          <w:rStyle w:val="FootnoteReference"/>
          <w:rFonts w:ascii="Traditional Arabic" w:hAnsi="Traditional Arabic" w:cs="Traditional Arabic"/>
          <w:sz w:val="36"/>
          <w:szCs w:val="36"/>
          <w:rtl/>
          <w:lang w:bidi="ar-EG"/>
        </w:rPr>
        <w:footnoteReference w:id="30"/>
      </w:r>
      <w:r w:rsidR="00167EA8">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حيث أكد القويفلي (2018) أن</w:t>
      </w:r>
      <w:r w:rsidR="00167EA8">
        <w:rPr>
          <w:rFonts w:ascii="Traditional Arabic" w:hAnsi="Traditional Arabic" w:cs="Traditional Arabic" w:hint="cs"/>
          <w:sz w:val="36"/>
          <w:szCs w:val="36"/>
          <w:rtl/>
          <w:lang w:bidi="ar-EG"/>
        </w:rPr>
        <w:t xml:space="preserve"> القرآن الكريم والسنة النبوية المطهرة </w:t>
      </w:r>
      <w:r>
        <w:rPr>
          <w:rFonts w:ascii="Traditional Arabic" w:hAnsi="Traditional Arabic" w:cs="Traditional Arabic" w:hint="cs"/>
          <w:sz w:val="36"/>
          <w:szCs w:val="36"/>
          <w:rtl/>
          <w:lang w:bidi="ar-EG"/>
        </w:rPr>
        <w:t xml:space="preserve">حدد </w:t>
      </w:r>
      <w:r w:rsidR="00167EA8">
        <w:rPr>
          <w:rFonts w:ascii="Traditional Arabic" w:hAnsi="Traditional Arabic" w:cs="Traditional Arabic" w:hint="cs"/>
          <w:sz w:val="36"/>
          <w:szCs w:val="36"/>
          <w:rtl/>
          <w:lang w:bidi="ar-EG"/>
        </w:rPr>
        <w:t>من يجب عليه الخضوع للقصاص القتل والزنا والذي ترك عقيدة المسلمين والبغي في الأرض بغير الحق والإفساد في الأرض وارتكاب جرائم الغيلة والتعزير.</w:t>
      </w:r>
      <w:r w:rsidR="00167EA8">
        <w:rPr>
          <w:rStyle w:val="FootnoteReference"/>
          <w:rFonts w:ascii="Traditional Arabic" w:hAnsi="Traditional Arabic" w:cs="Traditional Arabic"/>
          <w:sz w:val="36"/>
          <w:szCs w:val="36"/>
          <w:rtl/>
          <w:lang w:bidi="ar-EG"/>
        </w:rPr>
        <w:footnoteReference w:id="31"/>
      </w:r>
      <w:r w:rsidR="00167EA8">
        <w:rPr>
          <w:rFonts w:ascii="Traditional Arabic" w:hAnsi="Traditional Arabic" w:cs="Traditional Arabic" w:hint="cs"/>
          <w:sz w:val="36"/>
          <w:szCs w:val="36"/>
          <w:rtl/>
          <w:lang w:bidi="ar-EG"/>
        </w:rPr>
        <w:t xml:space="preserve"> </w:t>
      </w:r>
    </w:p>
    <w:p w14:paraId="714CC182" w14:textId="28A8918A" w:rsidR="00F763B8" w:rsidRDefault="00F763B8" w:rsidP="00F763B8">
      <w:pPr>
        <w:tabs>
          <w:tab w:val="left" w:pos="1604"/>
        </w:tabs>
        <w:jc w:val="both"/>
        <w:rPr>
          <w:rFonts w:ascii="Traditional Arabic" w:hAnsi="Traditional Arabic" w:cs="Traditional Arabic"/>
          <w:sz w:val="36"/>
          <w:szCs w:val="36"/>
          <w:rtl/>
          <w:lang w:bidi="ar-EG"/>
        </w:rPr>
      </w:pPr>
    </w:p>
    <w:p w14:paraId="65E4119B" w14:textId="7984432B" w:rsidR="00F763B8" w:rsidRDefault="00F763B8" w:rsidP="00F763B8">
      <w:pPr>
        <w:tabs>
          <w:tab w:val="left" w:pos="1604"/>
        </w:tabs>
        <w:jc w:val="both"/>
        <w:rPr>
          <w:rFonts w:ascii="Traditional Arabic" w:hAnsi="Traditional Arabic" w:cs="Traditional Arabic"/>
          <w:sz w:val="36"/>
          <w:szCs w:val="36"/>
          <w:rtl/>
          <w:lang w:bidi="ar-EG"/>
        </w:rPr>
      </w:pPr>
    </w:p>
    <w:p w14:paraId="6211BCFC" w14:textId="5D8BECD5" w:rsidR="00F763B8" w:rsidRDefault="00F763B8" w:rsidP="00F763B8">
      <w:pPr>
        <w:tabs>
          <w:tab w:val="left" w:pos="1604"/>
        </w:tabs>
        <w:jc w:val="both"/>
        <w:rPr>
          <w:rFonts w:ascii="Traditional Arabic" w:hAnsi="Traditional Arabic" w:cs="Traditional Arabic"/>
          <w:sz w:val="36"/>
          <w:szCs w:val="36"/>
          <w:rtl/>
          <w:lang w:bidi="ar-EG"/>
        </w:rPr>
      </w:pPr>
    </w:p>
    <w:p w14:paraId="5C0986B0" w14:textId="77777777" w:rsidR="00F763B8" w:rsidRDefault="00F763B8" w:rsidP="00F763B8">
      <w:pPr>
        <w:tabs>
          <w:tab w:val="left" w:pos="1604"/>
        </w:tabs>
        <w:jc w:val="both"/>
        <w:rPr>
          <w:rFonts w:ascii="Traditional Arabic" w:hAnsi="Traditional Arabic" w:cs="Traditional Arabic"/>
          <w:sz w:val="36"/>
          <w:szCs w:val="36"/>
          <w:rtl/>
          <w:lang w:bidi="ar-EG"/>
        </w:rPr>
      </w:pPr>
    </w:p>
    <w:p w14:paraId="422FF65A" w14:textId="77777777" w:rsidR="00167EA8" w:rsidRDefault="00167EA8" w:rsidP="00167EA8">
      <w:pPr>
        <w:tabs>
          <w:tab w:val="left" w:pos="1604"/>
        </w:tabs>
        <w:jc w:val="both"/>
        <w:rPr>
          <w:rFonts w:ascii="Traditional Arabic" w:hAnsi="Traditional Arabic" w:cs="Traditional Arabic"/>
          <w:b/>
          <w:bCs/>
          <w:sz w:val="36"/>
          <w:szCs w:val="36"/>
          <w:rtl/>
          <w:lang w:bidi="ar-EG"/>
        </w:rPr>
      </w:pPr>
      <w:r w:rsidRPr="00EE06F9">
        <w:rPr>
          <w:rFonts w:ascii="Traditional Arabic" w:hAnsi="Traditional Arabic" w:cs="Traditional Arabic" w:hint="cs"/>
          <w:b/>
          <w:bCs/>
          <w:sz w:val="36"/>
          <w:szCs w:val="36"/>
          <w:rtl/>
          <w:lang w:bidi="ar-EG"/>
        </w:rPr>
        <w:lastRenderedPageBreak/>
        <w:t xml:space="preserve">ثانياً: جرائم </w:t>
      </w:r>
      <w:r>
        <w:rPr>
          <w:rFonts w:ascii="Traditional Arabic" w:hAnsi="Traditional Arabic" w:cs="Traditional Arabic" w:hint="cs"/>
          <w:b/>
          <w:bCs/>
          <w:sz w:val="36"/>
          <w:szCs w:val="36"/>
          <w:rtl/>
          <w:lang w:bidi="ar-EG"/>
        </w:rPr>
        <w:t xml:space="preserve">تستلزم تطبيق </w:t>
      </w:r>
      <w:r w:rsidRPr="00EE06F9">
        <w:rPr>
          <w:rFonts w:ascii="Traditional Arabic" w:hAnsi="Traditional Arabic" w:cs="Traditional Arabic" w:hint="cs"/>
          <w:b/>
          <w:bCs/>
          <w:sz w:val="36"/>
          <w:szCs w:val="36"/>
          <w:rtl/>
          <w:lang w:bidi="ar-EG"/>
        </w:rPr>
        <w:t>الحدود</w:t>
      </w:r>
      <w:r>
        <w:rPr>
          <w:rFonts w:ascii="Traditional Arabic" w:hAnsi="Traditional Arabic" w:cs="Traditional Arabic" w:hint="cs"/>
          <w:b/>
          <w:bCs/>
          <w:sz w:val="36"/>
          <w:szCs w:val="36"/>
          <w:rtl/>
          <w:lang w:bidi="ar-EG"/>
        </w:rPr>
        <w:t xml:space="preserve"> الشرعية</w:t>
      </w:r>
    </w:p>
    <w:p w14:paraId="450AC1F2" w14:textId="77777777" w:rsidR="00167EA8" w:rsidRDefault="00167EA8" w:rsidP="00167EA8">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يمكن تعريف </w:t>
      </w:r>
      <w:r w:rsidRPr="00EE06F9">
        <w:rPr>
          <w:rFonts w:ascii="Traditional Arabic" w:hAnsi="Traditional Arabic" w:cs="Traditional Arabic" w:hint="cs"/>
          <w:sz w:val="36"/>
          <w:szCs w:val="36"/>
          <w:rtl/>
          <w:lang w:bidi="ar-EG"/>
        </w:rPr>
        <w:t xml:space="preserve">الحدود </w:t>
      </w:r>
      <w:r>
        <w:rPr>
          <w:rFonts w:ascii="Traditional Arabic" w:hAnsi="Traditional Arabic" w:cs="Traditional Arabic" w:hint="cs"/>
          <w:sz w:val="36"/>
          <w:szCs w:val="36"/>
          <w:rtl/>
          <w:lang w:bidi="ar-EG"/>
        </w:rPr>
        <w:t>لغوياً بأنها هي عبارة عن حاجز يفصل بين شيئيين أو أكثر مخافة اختلاطهم،</w:t>
      </w:r>
      <w:r>
        <w:rPr>
          <w:rStyle w:val="FootnoteReference"/>
          <w:rFonts w:ascii="Traditional Arabic" w:hAnsi="Traditional Arabic" w:cs="Traditional Arabic"/>
          <w:sz w:val="36"/>
          <w:szCs w:val="36"/>
          <w:rtl/>
          <w:lang w:bidi="ar-EG"/>
        </w:rPr>
        <w:footnoteReference w:id="32"/>
      </w:r>
      <w:r>
        <w:rPr>
          <w:rFonts w:ascii="Traditional Arabic" w:hAnsi="Traditional Arabic" w:cs="Traditional Arabic" w:hint="cs"/>
          <w:sz w:val="36"/>
          <w:szCs w:val="36"/>
          <w:rtl/>
          <w:lang w:bidi="ar-EG"/>
        </w:rPr>
        <w:t xml:space="preserve"> المفهوم الإصطلاحي للحدود هي ارتكاب فرد أو أكثر جريمة موجبة لتطبيق حدود الله عز وجل الشرعية</w:t>
      </w:r>
      <w:r>
        <w:rPr>
          <w:rFonts w:ascii="Traditional Arabic" w:hAnsi="Traditional Arabic" w:cs="Traditional Arabic"/>
          <w:sz w:val="36"/>
          <w:szCs w:val="36"/>
          <w:lang w:bidi="ar-EG"/>
        </w:rPr>
        <w:t>.</w:t>
      </w:r>
      <w:r>
        <w:rPr>
          <w:rStyle w:val="FootnoteReference"/>
          <w:rFonts w:ascii="Traditional Arabic" w:hAnsi="Traditional Arabic" w:cs="Traditional Arabic"/>
          <w:sz w:val="36"/>
          <w:szCs w:val="36"/>
          <w:lang w:bidi="ar-EG"/>
        </w:rPr>
        <w:footnoteReference w:id="33"/>
      </w:r>
      <w:r>
        <w:rPr>
          <w:rFonts w:ascii="Traditional Arabic" w:hAnsi="Traditional Arabic" w:cs="Traditional Arabic" w:hint="cs"/>
          <w:sz w:val="36"/>
          <w:szCs w:val="36"/>
          <w:rtl/>
          <w:lang w:bidi="ar-EG"/>
        </w:rPr>
        <w:t xml:space="preserve"> ويمكن تقسيم تطبيق الحدود الشرعية إلى عدة أنواع من بينها ما يلي:</w:t>
      </w:r>
    </w:p>
    <w:p w14:paraId="48BF464B" w14:textId="77777777" w:rsidR="00632BF0" w:rsidRPr="00EE06F9" w:rsidRDefault="00632BF0" w:rsidP="00632BF0">
      <w:pPr>
        <w:tabs>
          <w:tab w:val="left" w:pos="1604"/>
        </w:tabs>
        <w:jc w:val="both"/>
        <w:rPr>
          <w:rFonts w:ascii="Traditional Arabic" w:hAnsi="Traditional Arabic" w:cs="Traditional Arabic"/>
          <w:b/>
          <w:bCs/>
          <w:sz w:val="36"/>
          <w:szCs w:val="36"/>
          <w:rtl/>
          <w:lang w:bidi="ar-EG"/>
        </w:rPr>
      </w:pPr>
      <w:r w:rsidRPr="00EE06F9">
        <w:rPr>
          <w:rFonts w:ascii="Traditional Arabic" w:hAnsi="Traditional Arabic" w:cs="Traditional Arabic" w:hint="cs"/>
          <w:b/>
          <w:bCs/>
          <w:sz w:val="36"/>
          <w:szCs w:val="36"/>
          <w:rtl/>
          <w:lang w:bidi="ar-EG"/>
        </w:rPr>
        <w:t xml:space="preserve">1.جرائم </w:t>
      </w:r>
      <w:r>
        <w:rPr>
          <w:rFonts w:ascii="Traditional Arabic" w:hAnsi="Traditional Arabic" w:cs="Traditional Arabic" w:hint="cs"/>
          <w:b/>
          <w:bCs/>
          <w:sz w:val="36"/>
          <w:szCs w:val="36"/>
          <w:rtl/>
          <w:lang w:bidi="ar-EG"/>
        </w:rPr>
        <w:t>تستلزم حد الرجم حتي الموت</w:t>
      </w:r>
      <w:r w:rsidRPr="00EE06F9">
        <w:rPr>
          <w:rFonts w:ascii="Traditional Arabic" w:hAnsi="Traditional Arabic" w:cs="Traditional Arabic" w:hint="cs"/>
          <w:b/>
          <w:bCs/>
          <w:sz w:val="36"/>
          <w:szCs w:val="36"/>
          <w:rtl/>
          <w:lang w:bidi="ar-EG"/>
        </w:rPr>
        <w:t xml:space="preserve"> </w:t>
      </w:r>
    </w:p>
    <w:p w14:paraId="6CF87BDE" w14:textId="77777777" w:rsidR="00632BF0" w:rsidRDefault="00632BF0" w:rsidP="00632BF0">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تعتبر جرائم الزنا (للزانية المتزوجة أو الزاني المتزوج) من أبرز الجرائم التي يجب تطبيق الحدود الشرعية على كل من ارتكب تلك الجريمة بشكل مباشر.</w:t>
      </w:r>
      <w:r>
        <w:rPr>
          <w:rStyle w:val="FootnoteReference"/>
          <w:rFonts w:ascii="Traditional Arabic" w:hAnsi="Traditional Arabic" w:cs="Traditional Arabic"/>
          <w:sz w:val="36"/>
          <w:szCs w:val="36"/>
          <w:rtl/>
          <w:lang w:bidi="ar-EG"/>
        </w:rPr>
        <w:footnoteReference w:id="34"/>
      </w:r>
      <w:r>
        <w:rPr>
          <w:rFonts w:ascii="Traditional Arabic" w:hAnsi="Traditional Arabic" w:cs="Traditional Arabic" w:hint="cs"/>
          <w:sz w:val="36"/>
          <w:szCs w:val="36"/>
          <w:rtl/>
          <w:lang w:bidi="ar-EG"/>
        </w:rPr>
        <w:t xml:space="preserve"> ويمكن إبراز المفهوم اللغوي للزنا يأتي بمعني الضيق، زنت المرآة زنياً تزني، وزنته تزنيه.</w:t>
      </w:r>
      <w:r>
        <w:rPr>
          <w:rStyle w:val="FootnoteReference"/>
          <w:rFonts w:ascii="Traditional Arabic" w:hAnsi="Traditional Arabic" w:cs="Traditional Arabic"/>
          <w:sz w:val="36"/>
          <w:szCs w:val="36"/>
          <w:rtl/>
          <w:lang w:bidi="ar-EG"/>
        </w:rPr>
        <w:footnoteReference w:id="35"/>
      </w:r>
      <w:r>
        <w:rPr>
          <w:rFonts w:ascii="Traditional Arabic" w:hAnsi="Traditional Arabic" w:cs="Traditional Arabic" w:hint="cs"/>
          <w:sz w:val="36"/>
          <w:szCs w:val="36"/>
          <w:rtl/>
          <w:lang w:bidi="ar-EG"/>
        </w:rPr>
        <w:t xml:space="preserve"> ومن المؤكد أن علماء الإسلام لهم العديد من الآراء الفقهية حول جرائم الزنا وخاصة للزانية المتزوجة أو الزاني المتزوج، حيث أكد الإمام أبوحنيفة أن الزنا هو الوطئ المحرم في فرج المرآة، كما زاد عليهم الإمام مالك في توصيف الوطئ بأنه وطئ محرم في قبل المرآة ودبرها.</w:t>
      </w:r>
      <w:r>
        <w:rPr>
          <w:rStyle w:val="FootnoteReference"/>
          <w:rFonts w:ascii="Traditional Arabic" w:hAnsi="Traditional Arabic" w:cs="Traditional Arabic"/>
          <w:sz w:val="36"/>
          <w:szCs w:val="36"/>
          <w:rtl/>
          <w:lang w:bidi="ar-EG"/>
        </w:rPr>
        <w:footnoteReference w:id="36"/>
      </w:r>
      <w:r>
        <w:rPr>
          <w:rFonts w:ascii="Traditional Arabic" w:hAnsi="Traditional Arabic" w:cs="Traditional Arabic" w:hint="cs"/>
          <w:sz w:val="36"/>
          <w:szCs w:val="36"/>
          <w:rtl/>
          <w:lang w:bidi="ar-EG"/>
        </w:rPr>
        <w:t xml:space="preserve"> كما أتفق الإمام أحمد بن حنبل على أن الزنا هو الوطئ المحرم في القبل والدبر ويعد من الكبائر أو السبع الموبقات، ولقد حذر القرآن الكريم والسنة النبوية المطهرة من الإقدام أو حتي الإقتراب من فاحشة الزنا لما لها من آثار سلبية على الفرد وعلى المجتمع، كما أنها قد تؤدي إلى اختلاط الأنساب وتدهور العلاقات الأسرية وضياع الحياة الإجتماعية لعموم المسلمين، كما أن ارتكاب جريمة الزنا قد يؤدي إلى ظهور العديد من الأمراض التي لم تكن موجودة من قبل، كما أن بروز جريمة الزنا في المجتمعات الإسلامية دليل على ضياع الدين وانحدار </w:t>
      </w:r>
      <w:r>
        <w:rPr>
          <w:rFonts w:ascii="Traditional Arabic" w:hAnsi="Traditional Arabic" w:cs="Traditional Arabic" w:hint="cs"/>
          <w:sz w:val="36"/>
          <w:szCs w:val="36"/>
          <w:rtl/>
          <w:lang w:bidi="ar-EG"/>
        </w:rPr>
        <w:lastRenderedPageBreak/>
        <w:t>للقيم بشكل كبير.</w:t>
      </w:r>
      <w:r>
        <w:rPr>
          <w:rStyle w:val="FootnoteReference"/>
          <w:rFonts w:ascii="Traditional Arabic" w:hAnsi="Traditional Arabic" w:cs="Traditional Arabic"/>
          <w:sz w:val="36"/>
          <w:szCs w:val="36"/>
          <w:rtl/>
          <w:lang w:bidi="ar-EG"/>
        </w:rPr>
        <w:footnoteReference w:id="37"/>
      </w:r>
      <w:r>
        <w:rPr>
          <w:rFonts w:ascii="Traditional Arabic" w:hAnsi="Traditional Arabic" w:cs="Traditional Arabic" w:hint="cs"/>
          <w:sz w:val="36"/>
          <w:szCs w:val="36"/>
          <w:rtl/>
          <w:lang w:bidi="ar-EG"/>
        </w:rPr>
        <w:t xml:space="preserve"> حيث قال الله تعالي في محكم التنزيل: </w:t>
      </w:r>
      <w:r>
        <w:rPr>
          <w:rFonts w:ascii="Traditional Arabic" w:hAnsi="Traditional Arabic" w:cs="Traditional Arabic"/>
          <w:sz w:val="36"/>
          <w:szCs w:val="36"/>
          <w:rtl/>
          <w:lang w:bidi="ar-EG"/>
        </w:rPr>
        <w:t>﴿</w:t>
      </w:r>
      <w:r w:rsidRPr="00C03448">
        <w:rPr>
          <w:rFonts w:ascii="Traditional Arabic" w:hAnsi="Traditional Arabic" w:cs="Traditional Arabic"/>
          <w:sz w:val="36"/>
          <w:szCs w:val="36"/>
          <w:rtl/>
          <w:lang w:bidi="ar-EG"/>
        </w:rPr>
        <w:t xml:space="preserve">وَاللَّاتِي يَأْتِينَ الْفَاحِشَةَ مِن نِّسَائِكُمْ فَاسْتَشْهِدُوا عَلَيْهِنَّ أَرْبَعَةً مِّنكُمْ </w:t>
      </w:r>
      <w:r w:rsidRPr="00C03448">
        <w:rPr>
          <w:rFonts w:hint="cs"/>
          <w:sz w:val="36"/>
          <w:szCs w:val="36"/>
          <w:rtl/>
          <w:lang w:bidi="ar-EG"/>
        </w:rPr>
        <w:t>ۖ</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فَإِن</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شَهِدُوا</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فَأَمْسِكُوهُنَّ</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فِي</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الْبُيُوتِ</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حَتَّىٰ</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يَتَوَفَّاهُنَّ</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الْمَوْتُ</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أَوْ</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يَجْعَلَ</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اللَّهُ</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لَهُنَّ</w:t>
      </w:r>
      <w:r w:rsidRPr="00C03448">
        <w:rPr>
          <w:rFonts w:ascii="Traditional Arabic" w:hAnsi="Traditional Arabic" w:cs="Traditional Arabic"/>
          <w:sz w:val="36"/>
          <w:szCs w:val="36"/>
          <w:rtl/>
          <w:lang w:bidi="ar-EG"/>
        </w:rPr>
        <w:t xml:space="preserve"> </w:t>
      </w:r>
      <w:r w:rsidRPr="00C03448">
        <w:rPr>
          <w:rFonts w:ascii="Traditional Arabic" w:hAnsi="Traditional Arabic" w:cs="Traditional Arabic" w:hint="cs"/>
          <w:sz w:val="36"/>
          <w:szCs w:val="36"/>
          <w:rtl/>
          <w:lang w:bidi="ar-EG"/>
        </w:rPr>
        <w:t>سَبِيلًا</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38"/>
      </w:r>
      <w:r>
        <w:rPr>
          <w:rFonts w:ascii="Traditional Arabic" w:hAnsi="Traditional Arabic" w:cs="Traditional Arabic" w:hint="cs"/>
          <w:sz w:val="36"/>
          <w:szCs w:val="36"/>
          <w:rtl/>
          <w:lang w:bidi="ar-EG"/>
        </w:rPr>
        <w:t xml:space="preserve"> وبالتالي وبناء على الآية السابقة فإنه لايمكن ثبوت تهمة الزنا إلا بالشهود العدول وإقرار بالفعل ذاته من مرتكبي جريمة الزنا، ولقد أقرت السنة النبوية المطهرة بضرورة الحفاظ على الأنساب والتحذير من مخاطر اختلاط الأنساب والتمسك بالعفة والطهارة وتسهيل الزواج للمتعسرين خشية الوقوع في المحرمات بشكل كبير، فلقد ورد عن ابن مسعود رضي الله عنه وأرضاه وطيب الله ثراه أن رسول الله صلى الله عليه وآله وصحبه وسلم قال: </w:t>
      </w:r>
      <w:r w:rsidRPr="00C439F5">
        <w:rPr>
          <w:rFonts w:ascii="Traditional Arabic" w:hAnsi="Traditional Arabic" w:cs="Traditional Arabic"/>
          <w:sz w:val="36"/>
          <w:szCs w:val="36"/>
          <w:rtl/>
          <w:lang w:bidi="ar-EG"/>
        </w:rPr>
        <w:t xml:space="preserve">قال رسول الله صلى الله عليه وسلم: </w:t>
      </w:r>
      <w:r>
        <w:rPr>
          <w:rFonts w:ascii="Traditional Arabic" w:hAnsi="Traditional Arabic" w:cs="Traditional Arabic"/>
          <w:sz w:val="36"/>
          <w:szCs w:val="36"/>
          <w:rtl/>
          <w:lang w:bidi="ar-EG"/>
        </w:rPr>
        <w:t>﴿</w:t>
      </w:r>
      <w:r w:rsidRPr="00C439F5">
        <w:rPr>
          <w:rFonts w:ascii="Traditional Arabic" w:hAnsi="Traditional Arabic" w:cs="Traditional Arabic"/>
          <w:sz w:val="36"/>
          <w:szCs w:val="36"/>
          <w:rtl/>
          <w:lang w:bidi="ar-EG"/>
        </w:rPr>
        <w:t>لا يحل دم امرئ مسلم إلا بإحدى ثلاث: الثيب الزاني، والنفس بالنفس، والتارك لدينه المفارق للجماعة</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39"/>
      </w:r>
      <w:r>
        <w:rPr>
          <w:rFonts w:ascii="Traditional Arabic" w:hAnsi="Traditional Arabic" w:cs="Traditional Arabic" w:hint="cs"/>
          <w:sz w:val="36"/>
          <w:szCs w:val="36"/>
          <w:rtl/>
          <w:lang w:bidi="ar-EG"/>
        </w:rPr>
        <w:t xml:space="preserve"> ولقد كتب الله عز وجل على من ارتكب جريمة الزنا (للزاني المحصن والزانية المحصنة) أن يرجموا تحصنياً للمجتمع وحفاظاً للأنساب وحفاظاً على شرف وسمعة ونسب الأسر المسلمة بشكل كبير، فإذا توافرت شهود الإثبات وتوافرت فيهم شروط العقل والبلوغ وكان هناك اقراراً بالذنب، فإنه يمكن في هذه الحالة تطبيق حد الرجم حتي الموت على من اقترف تلك الجريمة في حضور طائفة من المؤمنين. </w:t>
      </w:r>
      <w:r>
        <w:rPr>
          <w:rStyle w:val="FootnoteReference"/>
          <w:rFonts w:ascii="Traditional Arabic" w:hAnsi="Traditional Arabic" w:cs="Traditional Arabic"/>
          <w:sz w:val="36"/>
          <w:szCs w:val="36"/>
          <w:rtl/>
          <w:lang w:bidi="ar-EG"/>
        </w:rPr>
        <w:footnoteReference w:id="40"/>
      </w:r>
    </w:p>
    <w:p w14:paraId="13B4DE93" w14:textId="77777777" w:rsidR="00632BF0" w:rsidRPr="00C439F5" w:rsidRDefault="00632BF0" w:rsidP="00632BF0">
      <w:pPr>
        <w:tabs>
          <w:tab w:val="left" w:pos="1604"/>
        </w:tabs>
        <w:jc w:val="both"/>
        <w:rPr>
          <w:rFonts w:ascii="Traditional Arabic" w:hAnsi="Traditional Arabic" w:cs="Traditional Arabic"/>
          <w:b/>
          <w:bCs/>
          <w:sz w:val="36"/>
          <w:szCs w:val="36"/>
          <w:rtl/>
          <w:lang w:bidi="ar-EG"/>
        </w:rPr>
      </w:pPr>
      <w:r w:rsidRPr="00C439F5">
        <w:rPr>
          <w:rFonts w:ascii="Traditional Arabic" w:hAnsi="Traditional Arabic" w:cs="Traditional Arabic" w:hint="cs"/>
          <w:b/>
          <w:bCs/>
          <w:sz w:val="36"/>
          <w:szCs w:val="36"/>
          <w:rtl/>
          <w:lang w:bidi="ar-EG"/>
        </w:rPr>
        <w:t>2. جرائم تستلزم تطبيق حد الحرابة</w:t>
      </w:r>
    </w:p>
    <w:p w14:paraId="1CCB68AC" w14:textId="77777777" w:rsidR="00632BF0" w:rsidRDefault="00632BF0" w:rsidP="00632BF0">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يمكن تعريف الحرابة لغوياً بأنها الأخذ والمنع والقهر والحرابه تأتي من كل ما هو محروب.</w:t>
      </w:r>
      <w:r>
        <w:rPr>
          <w:rStyle w:val="FootnoteReference"/>
          <w:rFonts w:ascii="Traditional Arabic" w:hAnsi="Traditional Arabic" w:cs="Traditional Arabic"/>
          <w:sz w:val="36"/>
          <w:szCs w:val="36"/>
          <w:rtl/>
          <w:lang w:bidi="ar-EG"/>
        </w:rPr>
        <w:footnoteReference w:id="41"/>
      </w:r>
      <w:r>
        <w:rPr>
          <w:rFonts w:ascii="Traditional Arabic" w:hAnsi="Traditional Arabic" w:cs="Traditional Arabic" w:hint="cs"/>
          <w:sz w:val="36"/>
          <w:szCs w:val="36"/>
          <w:rtl/>
          <w:lang w:bidi="ar-EG"/>
        </w:rPr>
        <w:t xml:space="preserve"> ويمكن تحديد مفهوم الحرابة في الإصطلاح بأنها الحدود التي تستوجب الفعل والضرر بنفس الأسلوب الذي قام به </w:t>
      </w:r>
      <w:r>
        <w:rPr>
          <w:rFonts w:ascii="Traditional Arabic" w:hAnsi="Traditional Arabic" w:cs="Traditional Arabic" w:hint="cs"/>
          <w:sz w:val="36"/>
          <w:szCs w:val="36"/>
          <w:rtl/>
          <w:lang w:bidi="ar-EG"/>
        </w:rPr>
        <w:lastRenderedPageBreak/>
        <w:t>المعتدي.</w:t>
      </w:r>
      <w:r>
        <w:rPr>
          <w:rStyle w:val="FootnoteReference"/>
          <w:rFonts w:ascii="Traditional Arabic" w:hAnsi="Traditional Arabic" w:cs="Traditional Arabic"/>
          <w:sz w:val="36"/>
          <w:szCs w:val="36"/>
          <w:rtl/>
          <w:lang w:bidi="ar-EG"/>
        </w:rPr>
        <w:footnoteReference w:id="42"/>
      </w:r>
      <w:r>
        <w:rPr>
          <w:rFonts w:ascii="Traditional Arabic" w:hAnsi="Traditional Arabic" w:cs="Traditional Arabic" w:hint="cs"/>
          <w:sz w:val="36"/>
          <w:szCs w:val="36"/>
          <w:rtl/>
          <w:lang w:bidi="ar-EG"/>
        </w:rPr>
        <w:t xml:space="preserve"> ولقد أوضح علماء المسلمين مفهوم الحرابة بأنها قيام فرد أو مجموعة من الأفراد بإستخدام الأسلحة من أجل الإعتداء على الغير أو تهديدهم أو نشر حالة من الخوف بين الناس أو بين العوام والخواص أو للحصول على منافع نقدية وعينية من الناس بدون وجه حق، على أن يقوم الناس بالمنح والعطاء تحت تهديد السلاح، ولقد اتفق علماء المسملين وخاصة أبوحنيفة ومالك والشافعية والحنابلة أن ارتكاب الجرائم التي تستلزم تطبيق حد الحرابة يجب إنزال العقوبة على مرتكبيها فوراً، حيث أكد الإمام أبوحنيفة أن من أبرز صور الحرابة الخروج في الأسواق والمنح والعطاء تحت تهديد السلاح.</w:t>
      </w:r>
      <w:r>
        <w:rPr>
          <w:rStyle w:val="FootnoteReference"/>
          <w:rFonts w:ascii="Traditional Arabic" w:hAnsi="Traditional Arabic" w:cs="Traditional Arabic"/>
          <w:sz w:val="36"/>
          <w:szCs w:val="36"/>
          <w:rtl/>
          <w:lang w:bidi="ar-EG"/>
        </w:rPr>
        <w:footnoteReference w:id="43"/>
      </w:r>
      <w:r>
        <w:rPr>
          <w:rFonts w:ascii="Traditional Arabic" w:hAnsi="Traditional Arabic" w:cs="Traditional Arabic" w:hint="cs"/>
          <w:sz w:val="36"/>
          <w:szCs w:val="36"/>
          <w:rtl/>
          <w:lang w:bidi="ar-EG"/>
        </w:rPr>
        <w:t xml:space="preserve"> أما الإمام مالك فقد أشار إلى نفس المفهوم الذي أخذ به الإمام أبو حنيفة إلا أنه زاد على وصف الناس بأنهم المسالمين المنشغلين بقوتهم وحياتهم الشخصية</w:t>
      </w:r>
      <w:r>
        <w:rPr>
          <w:rFonts w:ascii="Traditional Arabic" w:hAnsi="Traditional Arabic" w:cs="Traditional Arabic"/>
          <w:sz w:val="36"/>
          <w:szCs w:val="36"/>
          <w:lang w:bidi="ar-EG"/>
        </w:rPr>
        <w:t>.</w:t>
      </w:r>
      <w:r>
        <w:rPr>
          <w:rStyle w:val="FootnoteReference"/>
          <w:rFonts w:ascii="Traditional Arabic" w:hAnsi="Traditional Arabic" w:cs="Traditional Arabic"/>
          <w:sz w:val="36"/>
          <w:szCs w:val="36"/>
          <w:lang w:bidi="ar-EG"/>
        </w:rPr>
        <w:footnoteReference w:id="44"/>
      </w:r>
      <w:r>
        <w:rPr>
          <w:rFonts w:ascii="Traditional Arabic" w:hAnsi="Traditional Arabic" w:cs="Traditional Arabic" w:hint="cs"/>
          <w:sz w:val="36"/>
          <w:szCs w:val="36"/>
          <w:rtl/>
          <w:lang w:bidi="ar-EG"/>
        </w:rPr>
        <w:t xml:space="preserve"> أما الإمام الشافعي فقد زاد على ذلك بإستخدام تخويف الناس من أجل ترويعهم والحصول على ما مع الناس من أموال عينية ونقدية ومن يعارض يقتل أو يجرح أو يخطف.</w:t>
      </w:r>
      <w:r>
        <w:rPr>
          <w:rStyle w:val="FootnoteReference"/>
          <w:rFonts w:ascii="Traditional Arabic" w:hAnsi="Traditional Arabic" w:cs="Traditional Arabic"/>
          <w:sz w:val="36"/>
          <w:szCs w:val="36"/>
          <w:rtl/>
          <w:lang w:bidi="ar-EG"/>
        </w:rPr>
        <w:footnoteReference w:id="45"/>
      </w:r>
      <w:r>
        <w:rPr>
          <w:rFonts w:ascii="Traditional Arabic" w:hAnsi="Traditional Arabic" w:cs="Traditional Arabic" w:hint="cs"/>
          <w:sz w:val="36"/>
          <w:szCs w:val="36"/>
          <w:rtl/>
          <w:lang w:bidi="ar-EG"/>
        </w:rPr>
        <w:t xml:space="preserve"> أما الإمام أحمد بن حنبل فقد وصفهم بقاطعي طرق المسلمين لإنتشار هذه الظاهرة في المجتمع المسلم في ذلك الوقت.</w:t>
      </w:r>
      <w:r>
        <w:rPr>
          <w:rStyle w:val="FootnoteReference"/>
          <w:rFonts w:ascii="Traditional Arabic" w:hAnsi="Traditional Arabic" w:cs="Traditional Arabic"/>
          <w:sz w:val="36"/>
          <w:szCs w:val="36"/>
          <w:rtl/>
          <w:lang w:bidi="ar-EG"/>
        </w:rPr>
        <w:footnoteReference w:id="46"/>
      </w:r>
      <w:r>
        <w:rPr>
          <w:rFonts w:ascii="Traditional Arabic" w:hAnsi="Traditional Arabic" w:cs="Traditional Arabic" w:hint="cs"/>
          <w:sz w:val="36"/>
          <w:szCs w:val="36"/>
          <w:rtl/>
          <w:lang w:bidi="ar-EG"/>
        </w:rPr>
        <w:t xml:space="preserve"> ولقد شدد القرآن الكريم والسنة النبوية المطهرة على حرمة بث الروع في نفوس الناس وأن اشهار السلاح عليهم ليس من الإسلام. حيث أقرت السنة النبوبة المطهرة بأن من يحمل السلاح في وجه المسلمين ليس من المسلمين في شئ، ف</w:t>
      </w:r>
      <w:r w:rsidRPr="009D3FA7">
        <w:rPr>
          <w:rFonts w:ascii="Traditional Arabic" w:hAnsi="Traditional Arabic" w:cs="Traditional Arabic"/>
          <w:sz w:val="36"/>
          <w:szCs w:val="36"/>
          <w:rtl/>
          <w:lang w:bidi="ar-EG"/>
        </w:rPr>
        <w:t xml:space="preserve">عن أبي هريرة رضي الله عنه أن رسول الله صلى الله عليه وسلم قال: </w:t>
      </w:r>
      <w:r>
        <w:rPr>
          <w:rFonts w:ascii="Traditional Arabic" w:hAnsi="Traditional Arabic" w:cs="Traditional Arabic"/>
          <w:sz w:val="36"/>
          <w:szCs w:val="36"/>
          <w:rtl/>
          <w:lang w:bidi="ar-EG"/>
        </w:rPr>
        <w:t>﴿</w:t>
      </w:r>
      <w:r w:rsidRPr="009D3FA7">
        <w:rPr>
          <w:rFonts w:ascii="Traditional Arabic" w:hAnsi="Traditional Arabic" w:cs="Traditional Arabic"/>
          <w:sz w:val="36"/>
          <w:szCs w:val="36"/>
          <w:rtl/>
          <w:lang w:bidi="ar-EG"/>
        </w:rPr>
        <w:t>من حمل علينا السلاح فليس منا ومن غشنا فليس منا</w:t>
      </w:r>
      <w:r w:rsidRPr="004F11B1">
        <w:rPr>
          <w:rFonts w:ascii="Traditional Arabic" w:hAnsi="Traditional Arabic" w:cs="Traditional Arabic"/>
          <w:sz w:val="36"/>
          <w:szCs w:val="36"/>
          <w:rtl/>
          <w:lang w:bidi="ar-EG"/>
        </w:rPr>
        <w:t>﴾</w:t>
      </w:r>
      <w:r w:rsidRPr="009D3FA7">
        <w:rPr>
          <w:rFonts w:ascii="Traditional Arabic" w:hAnsi="Traditional Arabic" w:cs="Traditional Arabic"/>
          <w:sz w:val="36"/>
          <w:szCs w:val="36"/>
          <w:rtl/>
          <w:lang w:bidi="ar-EG"/>
        </w:rPr>
        <w:t>.</w:t>
      </w:r>
      <w:r>
        <w:rPr>
          <w:rStyle w:val="FootnoteReference"/>
          <w:rFonts w:ascii="Traditional Arabic" w:hAnsi="Traditional Arabic" w:cs="Traditional Arabic"/>
          <w:sz w:val="36"/>
          <w:szCs w:val="36"/>
          <w:rtl/>
          <w:lang w:bidi="ar-EG"/>
        </w:rPr>
        <w:footnoteReference w:id="47"/>
      </w:r>
      <w:r>
        <w:rPr>
          <w:rFonts w:ascii="Traditional Arabic" w:hAnsi="Traditional Arabic" w:cs="Traditional Arabic" w:hint="cs"/>
          <w:sz w:val="36"/>
          <w:szCs w:val="36"/>
          <w:rtl/>
          <w:lang w:bidi="ar-EG"/>
        </w:rPr>
        <w:t xml:space="preserve"> وبالرغم من اتقاق الإمام أبو </w:t>
      </w:r>
      <w:r>
        <w:rPr>
          <w:rFonts w:ascii="Traditional Arabic" w:hAnsi="Traditional Arabic" w:cs="Traditional Arabic" w:hint="cs"/>
          <w:sz w:val="36"/>
          <w:szCs w:val="36"/>
          <w:rtl/>
          <w:lang w:bidi="ar-EG"/>
        </w:rPr>
        <w:lastRenderedPageBreak/>
        <w:t>حنيفة ومالك والشافعي والإمام أحمد بن حنبل على ضرورة انزال حد الحرابة على من ارتكب الجرائم التي تستلزم تطبيق حدود الحرابة الشرعية</w:t>
      </w:r>
      <w:r>
        <w:rPr>
          <w:rFonts w:ascii="Traditional Arabic" w:hAnsi="Traditional Arabic" w:cs="Traditional Arabic"/>
          <w:sz w:val="36"/>
          <w:szCs w:val="36"/>
          <w:lang w:bidi="ar-EG"/>
        </w:rPr>
        <w:t>.</w:t>
      </w:r>
      <w:r>
        <w:rPr>
          <w:rStyle w:val="FootnoteReference"/>
          <w:rFonts w:ascii="Traditional Arabic" w:hAnsi="Traditional Arabic" w:cs="Traditional Arabic"/>
          <w:sz w:val="36"/>
          <w:szCs w:val="36"/>
          <w:lang w:bidi="ar-EG"/>
        </w:rPr>
        <w:footnoteReference w:id="48"/>
      </w:r>
      <w:r>
        <w:rPr>
          <w:rFonts w:ascii="Traditional Arabic" w:hAnsi="Traditional Arabic" w:cs="Traditional Arabic" w:hint="cs"/>
          <w:sz w:val="36"/>
          <w:szCs w:val="36"/>
          <w:rtl/>
          <w:lang w:bidi="ar-EG"/>
        </w:rPr>
        <w:t xml:space="preserve"> إلا أن هناك العديد من الفقهاء والعلماء قد أقروا بأنه يحب الأخذ في الإعتبار حجم الجرم المرتكب وحجم الترويع وما إذا كان ترويعاً مصحوباً بالقتل من عدمه.</w:t>
      </w:r>
      <w:r>
        <w:rPr>
          <w:rStyle w:val="FootnoteReference"/>
          <w:rFonts w:ascii="Traditional Arabic" w:hAnsi="Traditional Arabic" w:cs="Traditional Arabic"/>
          <w:sz w:val="36"/>
          <w:szCs w:val="36"/>
          <w:rtl/>
          <w:lang w:bidi="ar-EG"/>
        </w:rPr>
        <w:footnoteReference w:id="49"/>
      </w:r>
      <w:r>
        <w:rPr>
          <w:rFonts w:ascii="Traditional Arabic" w:hAnsi="Traditional Arabic" w:cs="Traditional Arabic" w:hint="cs"/>
          <w:sz w:val="36"/>
          <w:szCs w:val="36"/>
          <w:rtl/>
          <w:lang w:bidi="ar-EG"/>
        </w:rPr>
        <w:t xml:space="preserve"> ومن أبرز من قالوا بهذا الرأي العالم الكبير الإمام سعيد بن المسيب والضحاك غيرهم، حيث استشهدوا بقول الله تعالي في كتابه العزيز: </w:t>
      </w:r>
      <w:r>
        <w:rPr>
          <w:rFonts w:ascii="Traditional Arabic" w:hAnsi="Traditional Arabic" w:cs="Traditional Arabic"/>
          <w:sz w:val="36"/>
          <w:szCs w:val="36"/>
          <w:rtl/>
          <w:lang w:bidi="ar-EG"/>
        </w:rPr>
        <w:t>﴿</w:t>
      </w:r>
      <w:r w:rsidRPr="009D3FA7">
        <w:rPr>
          <w:rFonts w:ascii="Traditional Arabic" w:hAnsi="Traditional Arabic" w:cs="Traditional Arabic"/>
          <w:sz w:val="36"/>
          <w:szCs w:val="36"/>
          <w:rtl/>
          <w:lang w:bidi="ar-EG"/>
        </w:rPr>
        <w:t xml:space="preserve">إِلَّا الَّذِينَ تَابُوا مِن قَبْلِ أَن تَقْدِرُوا عَلَيْهِمْ </w:t>
      </w:r>
      <w:r w:rsidRPr="009D3FA7">
        <w:rPr>
          <w:rFonts w:hint="cs"/>
          <w:sz w:val="36"/>
          <w:szCs w:val="36"/>
          <w:rtl/>
          <w:lang w:bidi="ar-EG"/>
        </w:rPr>
        <w:t>ۖ</w:t>
      </w:r>
      <w:r w:rsidRPr="009D3FA7">
        <w:rPr>
          <w:rFonts w:ascii="Traditional Arabic" w:hAnsi="Traditional Arabic" w:cs="Traditional Arabic"/>
          <w:sz w:val="36"/>
          <w:szCs w:val="36"/>
          <w:rtl/>
          <w:lang w:bidi="ar-EG"/>
        </w:rPr>
        <w:t xml:space="preserve"> </w:t>
      </w:r>
      <w:r w:rsidRPr="009D3FA7">
        <w:rPr>
          <w:rFonts w:ascii="Traditional Arabic" w:hAnsi="Traditional Arabic" w:cs="Traditional Arabic" w:hint="cs"/>
          <w:sz w:val="36"/>
          <w:szCs w:val="36"/>
          <w:rtl/>
          <w:lang w:bidi="ar-EG"/>
        </w:rPr>
        <w:t>فَاعْلَمُوا</w:t>
      </w:r>
      <w:r w:rsidRPr="009D3FA7">
        <w:rPr>
          <w:rFonts w:ascii="Traditional Arabic" w:hAnsi="Traditional Arabic" w:cs="Traditional Arabic"/>
          <w:sz w:val="36"/>
          <w:szCs w:val="36"/>
          <w:rtl/>
          <w:lang w:bidi="ar-EG"/>
        </w:rPr>
        <w:t xml:space="preserve"> </w:t>
      </w:r>
      <w:r w:rsidRPr="009D3FA7">
        <w:rPr>
          <w:rFonts w:ascii="Traditional Arabic" w:hAnsi="Traditional Arabic" w:cs="Traditional Arabic" w:hint="cs"/>
          <w:sz w:val="36"/>
          <w:szCs w:val="36"/>
          <w:rtl/>
          <w:lang w:bidi="ar-EG"/>
        </w:rPr>
        <w:t>أَنَّ</w:t>
      </w:r>
      <w:r w:rsidRPr="009D3FA7">
        <w:rPr>
          <w:rFonts w:ascii="Traditional Arabic" w:hAnsi="Traditional Arabic" w:cs="Traditional Arabic"/>
          <w:sz w:val="36"/>
          <w:szCs w:val="36"/>
          <w:rtl/>
          <w:lang w:bidi="ar-EG"/>
        </w:rPr>
        <w:t xml:space="preserve"> </w:t>
      </w:r>
      <w:r w:rsidRPr="009D3FA7">
        <w:rPr>
          <w:rFonts w:ascii="Traditional Arabic" w:hAnsi="Traditional Arabic" w:cs="Traditional Arabic" w:hint="cs"/>
          <w:sz w:val="36"/>
          <w:szCs w:val="36"/>
          <w:rtl/>
          <w:lang w:bidi="ar-EG"/>
        </w:rPr>
        <w:t>اللَّهَ</w:t>
      </w:r>
      <w:r w:rsidRPr="009D3FA7">
        <w:rPr>
          <w:rFonts w:ascii="Traditional Arabic" w:hAnsi="Traditional Arabic" w:cs="Traditional Arabic"/>
          <w:sz w:val="36"/>
          <w:szCs w:val="36"/>
          <w:rtl/>
          <w:lang w:bidi="ar-EG"/>
        </w:rPr>
        <w:t xml:space="preserve"> </w:t>
      </w:r>
      <w:r w:rsidRPr="009D3FA7">
        <w:rPr>
          <w:rFonts w:ascii="Traditional Arabic" w:hAnsi="Traditional Arabic" w:cs="Traditional Arabic" w:hint="cs"/>
          <w:sz w:val="36"/>
          <w:szCs w:val="36"/>
          <w:rtl/>
          <w:lang w:bidi="ar-EG"/>
        </w:rPr>
        <w:t>غَفُورٌ</w:t>
      </w:r>
      <w:r w:rsidRPr="009D3FA7">
        <w:rPr>
          <w:rFonts w:ascii="Traditional Arabic" w:hAnsi="Traditional Arabic" w:cs="Traditional Arabic"/>
          <w:sz w:val="36"/>
          <w:szCs w:val="36"/>
          <w:rtl/>
          <w:lang w:bidi="ar-EG"/>
        </w:rPr>
        <w:t xml:space="preserve"> </w:t>
      </w:r>
      <w:r w:rsidRPr="009D3FA7">
        <w:rPr>
          <w:rFonts w:ascii="Traditional Arabic" w:hAnsi="Traditional Arabic" w:cs="Traditional Arabic" w:hint="cs"/>
          <w:sz w:val="36"/>
          <w:szCs w:val="36"/>
          <w:rtl/>
          <w:lang w:bidi="ar-EG"/>
        </w:rPr>
        <w:t>رَّحِيمٌ</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50"/>
      </w:r>
      <w:r>
        <w:rPr>
          <w:rFonts w:ascii="Traditional Arabic" w:hAnsi="Traditional Arabic" w:cs="Traditional Arabic" w:hint="cs"/>
          <w:sz w:val="36"/>
          <w:szCs w:val="36"/>
          <w:rtl/>
          <w:lang w:bidi="ar-EG"/>
        </w:rPr>
        <w:t xml:space="preserve"> وهو ما يشير إلى أن التحقق من كيفية ارتكاب جرائم الحراية والتعرف على طبيعة الأسلحة التي استخدمت، سوف تساهم بدون شك في التعرف على طبيعة الحدود وكيفية تطبيقها بالمثل للجرم الذي ارتكب.</w:t>
      </w:r>
      <w:r>
        <w:rPr>
          <w:rStyle w:val="FootnoteReference"/>
          <w:rFonts w:ascii="Traditional Arabic" w:hAnsi="Traditional Arabic" w:cs="Traditional Arabic"/>
          <w:sz w:val="36"/>
          <w:szCs w:val="36"/>
          <w:rtl/>
          <w:lang w:bidi="ar-EG"/>
        </w:rPr>
        <w:footnoteReference w:id="51"/>
      </w:r>
      <w:r>
        <w:rPr>
          <w:rFonts w:ascii="Traditional Arabic" w:hAnsi="Traditional Arabic" w:cs="Traditional Arabic" w:hint="cs"/>
          <w:sz w:val="36"/>
          <w:szCs w:val="36"/>
          <w:rtl/>
          <w:lang w:bidi="ar-EG"/>
        </w:rPr>
        <w:t xml:space="preserve"> وبالتالي فإن الجرائم التي تستلزم إنزال وتطبيق حد الحرابة من الحدود اللازم تطبيقها على من انتهك الحرمات وروع الآمنيين بدون وجه حق، حيث قال الله تعالي في محكم التنزيل: </w:t>
      </w:r>
      <w:r>
        <w:rPr>
          <w:rFonts w:ascii="Traditional Arabic" w:hAnsi="Traditional Arabic" w:cs="Traditional Arabic"/>
          <w:sz w:val="36"/>
          <w:szCs w:val="36"/>
          <w:rtl/>
          <w:lang w:bidi="ar-EG"/>
        </w:rPr>
        <w:t>﴿</w:t>
      </w:r>
      <w:r w:rsidRPr="00314D0F">
        <w:rPr>
          <w:rFonts w:ascii="Traditional Arabic" w:hAnsi="Traditional Arabic" w:cs="Traditional Arabic"/>
          <w:sz w:val="36"/>
          <w:szCs w:val="36"/>
          <w:rtl/>
          <w:lang w:bidi="ar-EG"/>
        </w:rPr>
        <w:t xml:space="preserve">مِنْ أَجْلِ ذَٰلِكَ كَتَبْنَا عَلَىٰ بَنِي إِسْرَائِيلَ أَنَّهُ مَن قَتَلَ نَفْسًا بِغَيْرِ نَفْسٍ أَوْ فَسَادٍ فِي الْأَرْضِ فَكَأَنَّمَا قَتَلَ النَّاسَ جَمِيعًا وَمَنْ أَحْيَاهَا فَكَأَنَّمَا أَحْيَا النَّاسَ جَمِيعًا“.  إِنَّمَا جَزَاءُ الَّذِينَ يُحَارِبُونَ اللَّهَ وَرَسُولَهُ وَيَسْعَوْنَ فِي الْأَرْضِ فَسَادًا أَن يُقَتَّلُوا أَوْ يُصَلَّبُوا أَوْ تُقَطَّعَ أَيْدِيهِمْ وَأَرْجُلُهُم مِّنْ خِلَافٍ أَوْ يُنفَوْا مِنَ الْأَرْضِ </w:t>
      </w:r>
      <w:r w:rsidRPr="00314D0F">
        <w:rPr>
          <w:rFonts w:hint="cs"/>
          <w:sz w:val="36"/>
          <w:szCs w:val="36"/>
          <w:rtl/>
          <w:lang w:bidi="ar-EG"/>
        </w:rPr>
        <w:t>ۚ</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ذَٰلِكَ</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لَهُمْ</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خِزْيٌ</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فِي</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الدُّنْيَا</w:t>
      </w:r>
      <w:r w:rsidRPr="00314D0F">
        <w:rPr>
          <w:rFonts w:ascii="Traditional Arabic" w:hAnsi="Traditional Arabic" w:cs="Traditional Arabic"/>
          <w:sz w:val="36"/>
          <w:szCs w:val="36"/>
          <w:rtl/>
          <w:lang w:bidi="ar-EG"/>
        </w:rPr>
        <w:t xml:space="preserve"> </w:t>
      </w:r>
      <w:r w:rsidRPr="00314D0F">
        <w:rPr>
          <w:rFonts w:hint="cs"/>
          <w:sz w:val="36"/>
          <w:szCs w:val="36"/>
          <w:rtl/>
          <w:lang w:bidi="ar-EG"/>
        </w:rPr>
        <w:t>ۖ</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وَلَهُمْ</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فِي</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الْآخِرَةِ</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عَذَابٌ</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عَظِيمٌ</w:t>
      </w:r>
      <w:r w:rsidRPr="00314D0F">
        <w:rPr>
          <w:rFonts w:ascii="Traditional Arabic" w:hAnsi="Traditional Arabic" w:cs="Traditional Arabic"/>
          <w:sz w:val="36"/>
          <w:szCs w:val="36"/>
          <w:rtl/>
          <w:lang w:bidi="ar-EG"/>
        </w:rPr>
        <w:t xml:space="preserve"> (33) </w:t>
      </w:r>
      <w:r w:rsidRPr="00314D0F">
        <w:rPr>
          <w:rFonts w:ascii="Traditional Arabic" w:hAnsi="Traditional Arabic" w:cs="Traditional Arabic" w:hint="cs"/>
          <w:sz w:val="36"/>
          <w:szCs w:val="36"/>
          <w:rtl/>
          <w:lang w:bidi="ar-EG"/>
        </w:rPr>
        <w:t>إِلَّا</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الَّذِينَ</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تَابُوا</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مِن</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قَبْلِ</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أَن</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تَقْدِرُوا</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عَلَيْهِمْ</w:t>
      </w:r>
      <w:r w:rsidRPr="00314D0F">
        <w:rPr>
          <w:rFonts w:ascii="Traditional Arabic" w:hAnsi="Traditional Arabic" w:cs="Traditional Arabic"/>
          <w:sz w:val="36"/>
          <w:szCs w:val="36"/>
          <w:rtl/>
          <w:lang w:bidi="ar-EG"/>
        </w:rPr>
        <w:t xml:space="preserve"> </w:t>
      </w:r>
      <w:r w:rsidRPr="00314D0F">
        <w:rPr>
          <w:rFonts w:hint="cs"/>
          <w:sz w:val="36"/>
          <w:szCs w:val="36"/>
          <w:rtl/>
          <w:lang w:bidi="ar-EG"/>
        </w:rPr>
        <w:t>ۖ</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فَاعْلَمُوا</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أَنَّ</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اللَّهَ</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غَفُورٌ</w:t>
      </w:r>
      <w:r w:rsidRPr="00314D0F">
        <w:rPr>
          <w:rFonts w:ascii="Traditional Arabic" w:hAnsi="Traditional Arabic" w:cs="Traditional Arabic"/>
          <w:sz w:val="36"/>
          <w:szCs w:val="36"/>
          <w:rtl/>
          <w:lang w:bidi="ar-EG"/>
        </w:rPr>
        <w:t xml:space="preserve"> </w:t>
      </w:r>
      <w:r w:rsidRPr="00314D0F">
        <w:rPr>
          <w:rFonts w:ascii="Traditional Arabic" w:hAnsi="Traditional Arabic" w:cs="Traditional Arabic" w:hint="cs"/>
          <w:sz w:val="36"/>
          <w:szCs w:val="36"/>
          <w:rtl/>
          <w:lang w:bidi="ar-EG"/>
        </w:rPr>
        <w:t>رَّحِيمٌ</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52"/>
      </w:r>
      <w:r>
        <w:rPr>
          <w:rFonts w:ascii="Traditional Arabic" w:hAnsi="Traditional Arabic" w:cs="Traditional Arabic" w:hint="cs"/>
          <w:sz w:val="36"/>
          <w:szCs w:val="36"/>
          <w:rtl/>
          <w:lang w:bidi="ar-EG"/>
        </w:rPr>
        <w:t xml:space="preserve"> </w:t>
      </w:r>
    </w:p>
    <w:p w14:paraId="427B5BF6" w14:textId="77777777" w:rsidR="00632BF0" w:rsidRPr="00314D0F" w:rsidRDefault="00632BF0" w:rsidP="00632BF0">
      <w:pPr>
        <w:tabs>
          <w:tab w:val="left" w:pos="1604"/>
        </w:tabs>
        <w:jc w:val="both"/>
        <w:rPr>
          <w:rFonts w:ascii="Traditional Arabic" w:hAnsi="Traditional Arabic" w:cs="Traditional Arabic"/>
          <w:b/>
          <w:bCs/>
          <w:sz w:val="36"/>
          <w:szCs w:val="36"/>
          <w:rtl/>
          <w:lang w:bidi="ar-EG"/>
        </w:rPr>
      </w:pPr>
      <w:r w:rsidRPr="00314D0F">
        <w:rPr>
          <w:rFonts w:ascii="Traditional Arabic" w:hAnsi="Traditional Arabic" w:cs="Traditional Arabic" w:hint="cs"/>
          <w:b/>
          <w:bCs/>
          <w:sz w:val="36"/>
          <w:szCs w:val="36"/>
          <w:rtl/>
          <w:lang w:bidi="ar-EG"/>
        </w:rPr>
        <w:t xml:space="preserve">3.جرائم </w:t>
      </w:r>
      <w:r>
        <w:rPr>
          <w:rFonts w:ascii="Traditional Arabic" w:hAnsi="Traditional Arabic" w:cs="Traditional Arabic" w:hint="cs"/>
          <w:b/>
          <w:bCs/>
          <w:sz w:val="36"/>
          <w:szCs w:val="36"/>
          <w:rtl/>
          <w:lang w:bidi="ar-EG"/>
        </w:rPr>
        <w:t>تستلزم</w:t>
      </w:r>
      <w:r w:rsidRPr="00314D0F">
        <w:rPr>
          <w:rFonts w:ascii="Traditional Arabic" w:hAnsi="Traditional Arabic" w:cs="Traditional Arabic" w:hint="cs"/>
          <w:b/>
          <w:bCs/>
          <w:sz w:val="36"/>
          <w:szCs w:val="36"/>
          <w:rtl/>
          <w:lang w:bidi="ar-EG"/>
        </w:rPr>
        <w:t xml:space="preserve"> تطبيق حد الردة </w:t>
      </w:r>
    </w:p>
    <w:p w14:paraId="1183BF2B" w14:textId="77777777" w:rsidR="00632BF0" w:rsidRDefault="00632BF0" w:rsidP="00632BF0">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لقد أكد القرآن الكريم والسنة النبوية المطهرة أن جريمة ترك دين الإسلام والارتداد من أكثر الجرائم التي تؤثر على المجتمع الإسلامي ولذلك يستلزم تطبيق حد الردة على كل من ترك دين الإسلام عامداً متعمداً. ويمكن التعرف على المفهوم اللغوي للردة بأنها التقهقر والرجوع إلى الوراء، وهي تعني التحول وترك الدين </w:t>
      </w:r>
      <w:r>
        <w:rPr>
          <w:rFonts w:ascii="Traditional Arabic" w:hAnsi="Traditional Arabic" w:cs="Traditional Arabic" w:hint="cs"/>
          <w:sz w:val="36"/>
          <w:szCs w:val="36"/>
          <w:rtl/>
          <w:lang w:bidi="ar-EG"/>
        </w:rPr>
        <w:lastRenderedPageBreak/>
        <w:t>الإسلامي بعد الاقتناع الكامل به ثم ترك الدين الإسلامي كفراً به.</w:t>
      </w:r>
      <w:r>
        <w:rPr>
          <w:rStyle w:val="FootnoteReference"/>
          <w:rFonts w:ascii="Traditional Arabic" w:hAnsi="Traditional Arabic" w:cs="Traditional Arabic"/>
          <w:sz w:val="36"/>
          <w:szCs w:val="36"/>
          <w:rtl/>
          <w:lang w:bidi="ar-EG"/>
        </w:rPr>
        <w:footnoteReference w:id="53"/>
      </w:r>
      <w:r>
        <w:rPr>
          <w:rFonts w:ascii="Traditional Arabic" w:hAnsi="Traditional Arabic" w:cs="Traditional Arabic" w:hint="cs"/>
          <w:sz w:val="36"/>
          <w:szCs w:val="36"/>
          <w:rtl/>
          <w:lang w:bidi="ar-EG"/>
        </w:rPr>
        <w:t xml:space="preserve"> كما أن المفهوم الإصطلاحي للردة يعني ترك الدين الإسلامي والكفر به والإرتداد عنه كفراً.</w:t>
      </w:r>
      <w:r>
        <w:rPr>
          <w:rStyle w:val="FootnoteReference"/>
          <w:rFonts w:ascii="Traditional Arabic" w:hAnsi="Traditional Arabic" w:cs="Traditional Arabic"/>
          <w:sz w:val="36"/>
          <w:szCs w:val="36"/>
          <w:rtl/>
          <w:lang w:bidi="ar-EG"/>
        </w:rPr>
        <w:footnoteReference w:id="54"/>
      </w:r>
      <w:r>
        <w:rPr>
          <w:rFonts w:ascii="Traditional Arabic" w:hAnsi="Traditional Arabic" w:cs="Traditional Arabic" w:hint="cs"/>
          <w:sz w:val="36"/>
          <w:szCs w:val="36"/>
          <w:rtl/>
          <w:lang w:bidi="ar-EG"/>
        </w:rPr>
        <w:t xml:space="preserve"> ولقد اتفق الإمام أبو حنيفة مع الإمام مالك أن الردة هي ترك الدين الإسلامي والكفر بالشهادتين</w:t>
      </w:r>
      <w:r>
        <w:rPr>
          <w:rFonts w:ascii="Traditional Arabic" w:hAnsi="Traditional Arabic" w:cs="Traditional Arabic"/>
          <w:sz w:val="36"/>
          <w:szCs w:val="36"/>
          <w:lang w:bidi="ar-EG"/>
        </w:rPr>
        <w:t>.</w:t>
      </w:r>
      <w:r>
        <w:rPr>
          <w:rStyle w:val="FootnoteReference"/>
          <w:rFonts w:ascii="Traditional Arabic" w:hAnsi="Traditional Arabic" w:cs="Traditional Arabic"/>
          <w:sz w:val="36"/>
          <w:szCs w:val="36"/>
          <w:lang w:bidi="ar-EG"/>
        </w:rPr>
        <w:footnoteReference w:id="55"/>
      </w:r>
      <w:r>
        <w:rPr>
          <w:rFonts w:ascii="Traditional Arabic" w:hAnsi="Traditional Arabic" w:cs="Traditional Arabic" w:hint="cs"/>
          <w:sz w:val="36"/>
          <w:szCs w:val="36"/>
          <w:rtl/>
          <w:lang w:bidi="ar-EG"/>
        </w:rPr>
        <w:t xml:space="preserve"> ولقد أكد الإمام الشافعي أن الردة ليست فقط الاردتداد عن الدين الإسلامي ولكنها تعني أيضاً السخرية بعقائد المسلمين وشرائعهم وعبادتهم لله الواحد القهار. ويتفق الباحث مع رأي الإمام أحمد بن حنبل حيث يري أن الردة هي ما جاء به النبي صلى الله عليه وسلم وأقره القرآن الكريم والسنة النبوية المطهرة.</w:t>
      </w:r>
      <w:r>
        <w:rPr>
          <w:rStyle w:val="FootnoteReference"/>
          <w:rFonts w:ascii="Traditional Arabic" w:hAnsi="Traditional Arabic" w:cs="Traditional Arabic"/>
          <w:sz w:val="36"/>
          <w:szCs w:val="36"/>
          <w:rtl/>
          <w:lang w:bidi="ar-EG"/>
        </w:rPr>
        <w:footnoteReference w:id="56"/>
      </w:r>
      <w:r>
        <w:rPr>
          <w:rFonts w:ascii="Traditional Arabic" w:hAnsi="Traditional Arabic" w:cs="Traditional Arabic" w:hint="cs"/>
          <w:sz w:val="36"/>
          <w:szCs w:val="36"/>
          <w:rtl/>
          <w:lang w:bidi="ar-EG"/>
        </w:rPr>
        <w:t xml:space="preserve"> عن أبن عباس رضي الله عنه أن رسول الله صلى الله عليه وسلم قال: </w:t>
      </w:r>
      <w:r>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من بدل دينة فأقتلوه</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57"/>
      </w:r>
      <w:r>
        <w:rPr>
          <w:rFonts w:ascii="Traditional Arabic" w:hAnsi="Traditional Arabic" w:cs="Traditional Arabic" w:hint="cs"/>
          <w:sz w:val="36"/>
          <w:szCs w:val="36"/>
          <w:rtl/>
          <w:lang w:bidi="ar-EG"/>
        </w:rPr>
        <w:t xml:space="preserve">  وتجدر الإشارة إلى أن عقيدة المسلمين لاتعترف بفكرة الإجبار للدخول في الإسلام، حيث قال الله تعالي في كتابه العزيز: </w:t>
      </w:r>
      <w:r>
        <w:rPr>
          <w:rFonts w:ascii="Traditional Arabic" w:hAnsi="Traditional Arabic" w:cs="Traditional Arabic"/>
          <w:sz w:val="36"/>
          <w:szCs w:val="36"/>
          <w:rtl/>
          <w:lang w:bidi="ar-EG"/>
        </w:rPr>
        <w:t>﴿</w:t>
      </w:r>
      <w:r w:rsidRPr="00CD389F">
        <w:rPr>
          <w:rFonts w:ascii="Traditional Arabic" w:hAnsi="Traditional Arabic" w:cs="Traditional Arabic"/>
          <w:sz w:val="36"/>
          <w:szCs w:val="36"/>
          <w:rtl/>
          <w:lang w:bidi="ar-EG"/>
        </w:rPr>
        <w:t>لَا إِكْرَاهَ فِي الدِّينِ قَدْ تَبَيَّنَ الرُّشْدُ مِنَ الْغَيِّ</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58"/>
      </w:r>
      <w:r>
        <w:rPr>
          <w:rFonts w:ascii="Traditional Arabic" w:hAnsi="Traditional Arabic" w:cs="Traditional Arabic" w:hint="cs"/>
          <w:sz w:val="36"/>
          <w:szCs w:val="36"/>
          <w:rtl/>
          <w:lang w:bidi="ar-EG"/>
        </w:rPr>
        <w:t xml:space="preserve"> كما أن الله عز وجل قد جعل الدخول في الإسلام تخييراً وليس إجباراً، كما جعله اختباراً للناس فإما أن يختاروا الإيمان والإلتزام بمنهج رب العالمين أو يختاروا الكفر والضلال، وبالتالي تطبيق حد الردة علي المرتدين عن دينهم، حيث قال الله تعالي في محكم التنزيل: </w:t>
      </w:r>
      <w:r>
        <w:rPr>
          <w:rFonts w:ascii="Traditional Arabic" w:hAnsi="Traditional Arabic" w:cs="Traditional Arabic"/>
          <w:sz w:val="36"/>
          <w:szCs w:val="36"/>
          <w:rtl/>
          <w:lang w:bidi="ar-EG"/>
        </w:rPr>
        <w:t>﴿</w:t>
      </w:r>
      <w:r w:rsidRPr="00CD389F">
        <w:rPr>
          <w:rFonts w:ascii="Traditional Arabic" w:hAnsi="Traditional Arabic" w:cs="Traditional Arabic"/>
          <w:sz w:val="36"/>
          <w:szCs w:val="36"/>
          <w:rtl/>
          <w:lang w:bidi="ar-EG"/>
        </w:rPr>
        <w:t>وَلَوْ شَاءَ رَبُّكَ لَآمَنَ مَنْ فِي الْأَرْضِ كُلُّهُمْ جَمِيعًا أَفَأَنْتَ تُكْرِهُ النَّاسَ حَتَّى يَكُونُوا مُؤْمِنِينَ</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59"/>
      </w:r>
      <w:r>
        <w:rPr>
          <w:rFonts w:ascii="Traditional Arabic" w:hAnsi="Traditional Arabic" w:cs="Traditional Arabic" w:hint="cs"/>
          <w:sz w:val="36"/>
          <w:szCs w:val="36"/>
          <w:rtl/>
          <w:lang w:bidi="ar-EG"/>
        </w:rPr>
        <w:t xml:space="preserve"> ولقد أشار أهل العلم أن المرتد يعاقبه الله عز وجل عقوبتين، حيث يستلزم تطبيق حد الردة بقتله وفي الآخرة بدخول النار وعدم نيل رحمة الله ومغفرته. كما أن علماء المسلمين قد أقروا أن الأطفال وصغار السن إذا ارتدوا عن الإسلام فإنه ينتظر إلى يبلغوا الحلم وأن يستتابوا، </w:t>
      </w:r>
      <w:r>
        <w:rPr>
          <w:rFonts w:ascii="Traditional Arabic" w:hAnsi="Traditional Arabic" w:cs="Traditional Arabic" w:hint="cs"/>
          <w:sz w:val="36"/>
          <w:szCs w:val="36"/>
          <w:rtl/>
          <w:lang w:bidi="ar-EG"/>
        </w:rPr>
        <w:lastRenderedPageBreak/>
        <w:t xml:space="preserve">وحيث قال رسول الله صلى الله عليه وسلم من حديث عائشة رضي الله عنها: </w:t>
      </w:r>
      <w:r>
        <w:rPr>
          <w:rFonts w:ascii="Traditional Arabic" w:hAnsi="Traditional Arabic" w:cs="Traditional Arabic"/>
          <w:sz w:val="36"/>
          <w:szCs w:val="36"/>
          <w:rtl/>
          <w:lang w:bidi="ar-EG"/>
        </w:rPr>
        <w:t>﴿</w:t>
      </w:r>
      <w:r w:rsidRPr="000B1E92">
        <w:rPr>
          <w:rFonts w:ascii="Traditional Arabic" w:hAnsi="Traditional Arabic" w:cs="Traditional Arabic"/>
          <w:sz w:val="36"/>
          <w:szCs w:val="36"/>
          <w:rtl/>
          <w:lang w:bidi="ar-EG"/>
        </w:rPr>
        <w:t>رفع القلم عن ثلاثة النائم حتى يستيقظ والمجنون حتى يعقل والصغير حتى يبلغ</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60"/>
      </w:r>
    </w:p>
    <w:p w14:paraId="7BA84C0E" w14:textId="1E7E0E62" w:rsidR="00BA188C" w:rsidRDefault="00632BF0" w:rsidP="00E13948">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كذلك يمكن إرجاء المجنون حتي يعقل.</w:t>
      </w:r>
      <w:r>
        <w:rPr>
          <w:rStyle w:val="FootnoteReference"/>
          <w:rFonts w:ascii="Traditional Arabic" w:hAnsi="Traditional Arabic" w:cs="Traditional Arabic"/>
          <w:sz w:val="36"/>
          <w:szCs w:val="36"/>
          <w:rtl/>
          <w:lang w:bidi="ar-EG"/>
        </w:rPr>
        <w:footnoteReference w:id="61"/>
      </w:r>
      <w:r>
        <w:rPr>
          <w:rFonts w:ascii="Traditional Arabic" w:hAnsi="Traditional Arabic" w:cs="Traditional Arabic" w:hint="cs"/>
          <w:sz w:val="36"/>
          <w:szCs w:val="36"/>
          <w:rtl/>
          <w:lang w:bidi="ar-EG"/>
        </w:rPr>
        <w:t xml:space="preserve"> ولقد اختلف علماء المسلمين في وضع المرآة المرتده عن دين الإسلام فمنهم من قال تقتل ومنهم من قال تسترق، ولقد أجمع الإمام الإمام الشافعي والإمام مالك على وجوب قتل المرتده عن دين الإسلام وفقاً لحديث إمرأة يقال لها أم مراون، حيث روي عن جابر رضي الله عنه أن رسول الله صلى الله عليه وسلم أشار أن ينظر في أمر أم مروان فإن تابت واستتابت وإلا قتلت، أما الإمام أبو حنيفة يري أن المرآة المرتده لاتقتل بل يمكن أن تتخذ من ضمن الرقيق، وهو فعل سيدنا أبوبكر الصديق رضي الله عنه، إلا أن الإمام الشوكاني قد أكد على وجوب قتل المرتده وهو مايحسم هذه المسألة، ولقد أوضح العديد من أهل العلم من بينهم الأوزاعي وابن المنذر أنه يجب أن تتوافر في مسألة الردة الشهود العدول. ولقد أشار الشافعي أن من أبرز شروط تطبيق حد الردة هو البلوغ وتوافر العفل، وبالتالي فإن المكره على ترك الإسلام لايستلزم تطبيق العقوبة عليه.</w:t>
      </w:r>
      <w:r>
        <w:rPr>
          <w:rStyle w:val="FootnoteReference"/>
          <w:rFonts w:ascii="Traditional Arabic" w:hAnsi="Traditional Arabic" w:cs="Traditional Arabic"/>
          <w:sz w:val="36"/>
          <w:szCs w:val="36"/>
          <w:rtl/>
          <w:lang w:bidi="ar-EG"/>
        </w:rPr>
        <w:footnoteReference w:id="62"/>
      </w:r>
      <w:r>
        <w:rPr>
          <w:rFonts w:ascii="Traditional Arabic" w:hAnsi="Traditional Arabic" w:cs="Traditional Arabic" w:hint="cs"/>
          <w:sz w:val="36"/>
          <w:szCs w:val="36"/>
          <w:rtl/>
          <w:lang w:bidi="ar-EG"/>
        </w:rPr>
        <w:t xml:space="preserve"> </w:t>
      </w:r>
    </w:p>
    <w:p w14:paraId="027AA2B6" w14:textId="77777777" w:rsidR="00632BF0" w:rsidRPr="003E378C" w:rsidRDefault="00632BF0" w:rsidP="00632BF0">
      <w:pPr>
        <w:tabs>
          <w:tab w:val="left" w:pos="1604"/>
        </w:tabs>
        <w:jc w:val="both"/>
        <w:rPr>
          <w:rFonts w:ascii="Traditional Arabic" w:hAnsi="Traditional Arabic" w:cs="Traditional Arabic"/>
          <w:b/>
          <w:bCs/>
          <w:sz w:val="36"/>
          <w:szCs w:val="36"/>
          <w:rtl/>
          <w:lang w:bidi="ar-EG"/>
        </w:rPr>
      </w:pPr>
      <w:r w:rsidRPr="003E378C">
        <w:rPr>
          <w:rFonts w:ascii="Traditional Arabic" w:hAnsi="Traditional Arabic" w:cs="Traditional Arabic" w:hint="cs"/>
          <w:b/>
          <w:bCs/>
          <w:sz w:val="36"/>
          <w:szCs w:val="36"/>
          <w:rtl/>
          <w:lang w:bidi="ar-EG"/>
        </w:rPr>
        <w:t xml:space="preserve">4.جرائم </w:t>
      </w:r>
      <w:r>
        <w:rPr>
          <w:rFonts w:ascii="Traditional Arabic" w:hAnsi="Traditional Arabic" w:cs="Traditional Arabic" w:hint="cs"/>
          <w:b/>
          <w:bCs/>
          <w:sz w:val="36"/>
          <w:szCs w:val="36"/>
          <w:rtl/>
          <w:lang w:bidi="ar-EG"/>
        </w:rPr>
        <w:t>الإعتداء (البغي)</w:t>
      </w:r>
    </w:p>
    <w:p w14:paraId="35C0C9B4" w14:textId="77777777" w:rsidR="00632BF0" w:rsidRDefault="00632BF0" w:rsidP="00632BF0">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 المؤكد أن مفهوم البغي في اللغة هو الإعتداء والتعدي.</w:t>
      </w:r>
      <w:r>
        <w:rPr>
          <w:rStyle w:val="FootnoteReference"/>
          <w:rFonts w:ascii="Traditional Arabic" w:hAnsi="Traditional Arabic" w:cs="Traditional Arabic"/>
          <w:sz w:val="36"/>
          <w:szCs w:val="36"/>
          <w:rtl/>
          <w:lang w:bidi="ar-EG"/>
        </w:rPr>
        <w:footnoteReference w:id="63"/>
      </w:r>
      <w:r>
        <w:rPr>
          <w:rFonts w:ascii="Traditional Arabic" w:hAnsi="Traditional Arabic" w:cs="Traditional Arabic" w:hint="cs"/>
          <w:sz w:val="36"/>
          <w:szCs w:val="36"/>
          <w:rtl/>
          <w:lang w:bidi="ar-EG"/>
        </w:rPr>
        <w:t xml:space="preserve"> أما في المفهوم الإصطلاحي فهو يعني قيام مجموعة من المسلمين بالاعتداء والتعدي على مجموعة أخرى أو دولة أخرى من المسلمين.</w:t>
      </w:r>
      <w:r>
        <w:rPr>
          <w:rStyle w:val="FootnoteReference"/>
          <w:rFonts w:ascii="Traditional Arabic" w:hAnsi="Traditional Arabic" w:cs="Traditional Arabic"/>
          <w:sz w:val="36"/>
          <w:szCs w:val="36"/>
          <w:rtl/>
          <w:lang w:bidi="ar-EG"/>
        </w:rPr>
        <w:footnoteReference w:id="64"/>
      </w:r>
      <w:r>
        <w:rPr>
          <w:rFonts w:ascii="Traditional Arabic" w:hAnsi="Traditional Arabic" w:cs="Traditional Arabic" w:hint="cs"/>
          <w:sz w:val="36"/>
          <w:szCs w:val="36"/>
          <w:rtl/>
          <w:lang w:bidi="ar-EG"/>
        </w:rPr>
        <w:t xml:space="preserve"> ولقد حرم الله </w:t>
      </w:r>
      <w:r>
        <w:rPr>
          <w:rFonts w:ascii="Traditional Arabic" w:hAnsi="Traditional Arabic" w:cs="Traditional Arabic" w:hint="cs"/>
          <w:sz w:val="36"/>
          <w:szCs w:val="36"/>
          <w:rtl/>
          <w:lang w:bidi="ar-EG"/>
        </w:rPr>
        <w:lastRenderedPageBreak/>
        <w:t xml:space="preserve">عز وجل الإعتداء والبغي حيث قال الله تعالي في كتابه العزيز: </w:t>
      </w:r>
      <w:r>
        <w:rPr>
          <w:rFonts w:ascii="Traditional Arabic" w:hAnsi="Traditional Arabic" w:cs="Traditional Arabic"/>
          <w:sz w:val="36"/>
          <w:szCs w:val="36"/>
          <w:rtl/>
          <w:lang w:bidi="ar-EG"/>
        </w:rPr>
        <w:t>﴿</w:t>
      </w:r>
      <w:r w:rsidRPr="003E378C">
        <w:rPr>
          <w:rFonts w:ascii="Traditional Arabic" w:hAnsi="Traditional Arabic" w:cs="Traditional Arabic"/>
          <w:sz w:val="36"/>
          <w:szCs w:val="36"/>
          <w:rtl/>
          <w:lang w:bidi="ar-EG"/>
        </w:rPr>
        <w:t xml:space="preserve">وَإِن طَائِفَتَانِ مِنَ الْمُؤْمِنِينَ اقْتَتَلُوا فَأَصْلِحُوا بَيْنَهُمَا </w:t>
      </w:r>
      <w:r w:rsidRPr="003E378C">
        <w:rPr>
          <w:rFonts w:hint="cs"/>
          <w:sz w:val="36"/>
          <w:szCs w:val="36"/>
          <w:rtl/>
          <w:lang w:bidi="ar-EG"/>
        </w:rPr>
        <w:t>ۖ</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فَإِن</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بَغَتْ</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إِحْدَاهُمَا</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عَلَى</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الْأُخْرَىٰ</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فَقَاتِلُوا</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الَّتِي</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تَبْغِي</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حَتَّىٰ</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تَفِيءَ</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إِلَىٰ</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أَمْرِ</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اللَّهِ</w:t>
      </w:r>
      <w:r w:rsidRPr="003E378C">
        <w:rPr>
          <w:rFonts w:ascii="Traditional Arabic" w:hAnsi="Traditional Arabic" w:cs="Traditional Arabic"/>
          <w:sz w:val="36"/>
          <w:szCs w:val="36"/>
          <w:rtl/>
          <w:lang w:bidi="ar-EG"/>
        </w:rPr>
        <w:t xml:space="preserve"> </w:t>
      </w:r>
      <w:r w:rsidRPr="003E378C">
        <w:rPr>
          <w:rFonts w:hint="cs"/>
          <w:sz w:val="36"/>
          <w:szCs w:val="36"/>
          <w:rtl/>
          <w:lang w:bidi="ar-EG"/>
        </w:rPr>
        <w:t>ۚ</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فَإِن</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فَاءَتْ</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فَأَصْلِحُوا</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بَيْنَهُمَا</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بِالْعَدْلِ</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وَأَقْسِطُوا</w:t>
      </w:r>
      <w:r w:rsidRPr="003E378C">
        <w:rPr>
          <w:rFonts w:ascii="Traditional Arabic" w:hAnsi="Traditional Arabic" w:cs="Traditional Arabic"/>
          <w:sz w:val="36"/>
          <w:szCs w:val="36"/>
          <w:rtl/>
          <w:lang w:bidi="ar-EG"/>
        </w:rPr>
        <w:t xml:space="preserve"> </w:t>
      </w:r>
      <w:r w:rsidRPr="003E378C">
        <w:rPr>
          <w:rFonts w:hint="cs"/>
          <w:sz w:val="36"/>
          <w:szCs w:val="36"/>
          <w:rtl/>
          <w:lang w:bidi="ar-EG"/>
        </w:rPr>
        <w:t>ۖ</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إِنَّ</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اللَّهَ</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يُحِبُّ</w:t>
      </w:r>
      <w:r w:rsidRPr="003E378C">
        <w:rPr>
          <w:rFonts w:ascii="Traditional Arabic" w:hAnsi="Traditional Arabic" w:cs="Traditional Arabic"/>
          <w:sz w:val="36"/>
          <w:szCs w:val="36"/>
          <w:rtl/>
          <w:lang w:bidi="ar-EG"/>
        </w:rPr>
        <w:t xml:space="preserve"> </w:t>
      </w:r>
      <w:r w:rsidRPr="003E378C">
        <w:rPr>
          <w:rFonts w:ascii="Traditional Arabic" w:hAnsi="Traditional Arabic" w:cs="Traditional Arabic" w:hint="cs"/>
          <w:sz w:val="36"/>
          <w:szCs w:val="36"/>
          <w:rtl/>
          <w:lang w:bidi="ar-EG"/>
        </w:rPr>
        <w:t>الْمُقْسِطِينَ</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65"/>
      </w:r>
      <w:r>
        <w:rPr>
          <w:rFonts w:ascii="Traditional Arabic" w:hAnsi="Traditional Arabic" w:cs="Traditional Arabic" w:hint="cs"/>
          <w:sz w:val="36"/>
          <w:szCs w:val="36"/>
          <w:rtl/>
          <w:lang w:bidi="ar-EG"/>
        </w:rPr>
        <w:t xml:space="preserve"> ولقد أمر الله عز وجل المؤمنين العقلاء بالتدخل للإصلاح بينهما، فإذا استمر العداون والبغي والإعتداء من جانب أحدى المجموعات فإنه يجب التدخل لردع الفئة الباغية حتي تعود إلى أمر الله عز وجل، فإن رجعت إلى كلام الله والإمتثال إلى نواهيه فإنه يمكن الإصلاح بينهما مرة أخرى. </w:t>
      </w:r>
    </w:p>
    <w:p w14:paraId="4006D0F7" w14:textId="77777777" w:rsidR="00632BF0" w:rsidRPr="00FB40FA" w:rsidRDefault="00632BF0" w:rsidP="00632BF0">
      <w:pPr>
        <w:tabs>
          <w:tab w:val="left" w:pos="1604"/>
        </w:tabs>
        <w:jc w:val="both"/>
        <w:rPr>
          <w:rFonts w:ascii="Traditional Arabic" w:hAnsi="Traditional Arabic" w:cs="Traditional Arabic"/>
          <w:b/>
          <w:bCs/>
          <w:sz w:val="36"/>
          <w:szCs w:val="36"/>
          <w:rtl/>
          <w:lang w:bidi="ar-EG"/>
        </w:rPr>
      </w:pPr>
      <w:r w:rsidRPr="00FB40FA">
        <w:rPr>
          <w:rFonts w:ascii="Traditional Arabic" w:hAnsi="Traditional Arabic" w:cs="Traditional Arabic" w:hint="cs"/>
          <w:b/>
          <w:bCs/>
          <w:sz w:val="36"/>
          <w:szCs w:val="36"/>
          <w:rtl/>
          <w:lang w:bidi="ar-EG"/>
        </w:rPr>
        <w:t xml:space="preserve">5.جرائم </w:t>
      </w:r>
      <w:r>
        <w:rPr>
          <w:rFonts w:ascii="Traditional Arabic" w:hAnsi="Traditional Arabic" w:cs="Traditional Arabic" w:hint="cs"/>
          <w:b/>
          <w:bCs/>
          <w:sz w:val="36"/>
          <w:szCs w:val="36"/>
          <w:rtl/>
          <w:lang w:bidi="ar-EG"/>
        </w:rPr>
        <w:t>تستلزم</w:t>
      </w:r>
      <w:r w:rsidRPr="00FB40FA">
        <w:rPr>
          <w:rFonts w:ascii="Traditional Arabic" w:hAnsi="Traditional Arabic" w:cs="Traditional Arabic" w:hint="cs"/>
          <w:b/>
          <w:bCs/>
          <w:sz w:val="36"/>
          <w:szCs w:val="36"/>
          <w:rtl/>
          <w:lang w:bidi="ar-EG"/>
        </w:rPr>
        <w:t xml:space="preserve"> تطبيق حد التعزير</w:t>
      </w:r>
    </w:p>
    <w:p w14:paraId="608B64A7" w14:textId="77777777" w:rsidR="00632BF0" w:rsidRDefault="00632BF0" w:rsidP="00BA188C">
      <w:pPr>
        <w:tabs>
          <w:tab w:val="left" w:pos="1604"/>
        </w:tabs>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ومن بين أبرز صور الجرائم التي تستلزم حد التعزير جرائم التجسس وجرائم إدمان المخدرات والسرقة تحت تهديد السلاح. والتعزير في المفهوم اللغوي هو نوع من أنواع اللوم والتأديب أما في المفهوم الإصطلاحي فهي إمكانية التأديب على تلك الجرائم التي لايوجد حدود فيها.</w:t>
      </w:r>
      <w:r>
        <w:rPr>
          <w:rStyle w:val="FootnoteReference"/>
          <w:rFonts w:ascii="Traditional Arabic" w:hAnsi="Traditional Arabic" w:cs="Traditional Arabic"/>
          <w:sz w:val="36"/>
          <w:szCs w:val="36"/>
          <w:rtl/>
          <w:lang w:bidi="ar-EG"/>
        </w:rPr>
        <w:footnoteReference w:id="66"/>
      </w:r>
      <w:r>
        <w:rPr>
          <w:rFonts w:ascii="Traditional Arabic" w:hAnsi="Traditional Arabic" w:cs="Traditional Arabic" w:hint="cs"/>
          <w:sz w:val="36"/>
          <w:szCs w:val="36"/>
          <w:rtl/>
          <w:lang w:bidi="ar-EG"/>
        </w:rPr>
        <w:t xml:space="preserve"> حيث قال الله تعالي في كتابه العزيز: </w:t>
      </w:r>
      <w:r>
        <w:rPr>
          <w:rFonts w:ascii="Traditional Arabic" w:hAnsi="Traditional Arabic" w:cs="Traditional Arabic"/>
          <w:sz w:val="36"/>
          <w:szCs w:val="36"/>
          <w:rtl/>
          <w:lang w:bidi="ar-EG"/>
        </w:rPr>
        <w:t>﴿</w:t>
      </w:r>
      <w:r w:rsidRPr="003269B3">
        <w:rPr>
          <w:rFonts w:ascii="Traditional Arabic" w:hAnsi="Traditional Arabic" w:cs="Traditional Arabic"/>
          <w:sz w:val="36"/>
          <w:szCs w:val="36"/>
          <w:rtl/>
          <w:lang w:bidi="ar-EG"/>
        </w:rPr>
        <w:t xml:space="preserve">وَجَزَاءُ سَيِّئَةٍ سَيِّئَةٌ مِّثْلُهَا </w:t>
      </w:r>
      <w:r w:rsidRPr="003269B3">
        <w:rPr>
          <w:rFonts w:hint="cs"/>
          <w:sz w:val="36"/>
          <w:szCs w:val="36"/>
          <w:rtl/>
          <w:lang w:bidi="ar-EG"/>
        </w:rPr>
        <w:t>ۖ</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فَمَنْ</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عَفَا</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وَأَصْلَحَ</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فَأَجْرُهُ</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عَلَى</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اللَّهِ</w:t>
      </w:r>
      <w:r w:rsidRPr="003269B3">
        <w:rPr>
          <w:rFonts w:ascii="Traditional Arabic" w:hAnsi="Traditional Arabic" w:cs="Traditional Arabic"/>
          <w:sz w:val="36"/>
          <w:szCs w:val="36"/>
          <w:rtl/>
          <w:lang w:bidi="ar-EG"/>
        </w:rPr>
        <w:t xml:space="preserve"> </w:t>
      </w:r>
      <w:r w:rsidRPr="003269B3">
        <w:rPr>
          <w:rFonts w:hint="cs"/>
          <w:sz w:val="36"/>
          <w:szCs w:val="36"/>
          <w:rtl/>
          <w:lang w:bidi="ar-EG"/>
        </w:rPr>
        <w:t>ۚ</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إِنَّهُ</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لَا</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يُحِبُّ</w:t>
      </w:r>
      <w:r w:rsidRPr="003269B3">
        <w:rPr>
          <w:rFonts w:ascii="Traditional Arabic" w:hAnsi="Traditional Arabic" w:cs="Traditional Arabic"/>
          <w:sz w:val="36"/>
          <w:szCs w:val="36"/>
          <w:rtl/>
          <w:lang w:bidi="ar-EG"/>
        </w:rPr>
        <w:t xml:space="preserve"> </w:t>
      </w:r>
      <w:r w:rsidRPr="003269B3">
        <w:rPr>
          <w:rFonts w:ascii="Traditional Arabic" w:hAnsi="Traditional Arabic" w:cs="Traditional Arabic" w:hint="cs"/>
          <w:sz w:val="36"/>
          <w:szCs w:val="36"/>
          <w:rtl/>
          <w:lang w:bidi="ar-EG"/>
        </w:rPr>
        <w:t>الظَّالِمِينَ</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67"/>
      </w:r>
    </w:p>
    <w:p w14:paraId="5EA13B19" w14:textId="77777777" w:rsidR="00632BF0" w:rsidRPr="003269B3" w:rsidRDefault="00632BF0" w:rsidP="00632BF0">
      <w:pPr>
        <w:tabs>
          <w:tab w:val="left" w:pos="1604"/>
        </w:tabs>
        <w:jc w:val="both"/>
        <w:rPr>
          <w:rFonts w:ascii="Traditional Arabic" w:hAnsi="Traditional Arabic" w:cs="Traditional Arabic"/>
          <w:b/>
          <w:bCs/>
          <w:sz w:val="36"/>
          <w:szCs w:val="36"/>
          <w:rtl/>
          <w:lang w:bidi="ar-EG"/>
        </w:rPr>
      </w:pPr>
      <w:r w:rsidRPr="003269B3">
        <w:rPr>
          <w:rFonts w:ascii="Traditional Arabic" w:hAnsi="Traditional Arabic" w:cs="Traditional Arabic" w:hint="cs"/>
          <w:b/>
          <w:bCs/>
          <w:sz w:val="36"/>
          <w:szCs w:val="36"/>
          <w:rtl/>
          <w:lang w:bidi="ar-EG"/>
        </w:rPr>
        <w:t>6.جرائم الغيله</w:t>
      </w:r>
    </w:p>
    <w:p w14:paraId="6A652584" w14:textId="77777777" w:rsidR="00694203" w:rsidRDefault="00632BF0" w:rsidP="00632BF0">
      <w:pPr>
        <w:tabs>
          <w:tab w:val="left" w:pos="1604"/>
        </w:tabs>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يمكن إيضاح المفهوم اللغوي لجرائم الغيله بأنها تلك الجرائم التي تندرج تحت الخديعة والإستدراج. وبالتالي فإن المفهوم الإصطلاحي لجرائم الغيلة هي تلك الجرائم هي التي تقوم على فكرة استدراج أحد الأفراد إلى أماكن بعيده أو غير آهله بالسكان من أجل التهديد بالسلاح للحصول على منافع مادية أو عينية بدون وجه حق. ولقد أشار أهل العلم إلى أن جرائم الغيله تعتبر في كثير من الأحوال من ضمن جرائم القتل العمد وتعامل بحد الحرابة، حيث تقوم فكرة الغيله على الخداع والإحتيال واستدراج أحد الأبرياء من أجل الحصول على أموال أو منافع مادية وعينية تحت تهديد السلاح، ثم قتله بعد الحصول على تلك المنافع، في هذه الحالة تعتبر قتل عمد، وفي تلك الحالة تستلزم تطبيق حد التعزير وهو ماذهب إليه المالكية والحنابله، أما الشافعية والحنفية فقد أشاروا أن الغيله هي نوع من أنواع الفساد في الأرض وتستلزم تطبيق عقوبة </w:t>
      </w:r>
      <w:r>
        <w:rPr>
          <w:rFonts w:ascii="Traditional Arabic" w:hAnsi="Traditional Arabic" w:cs="Traditional Arabic" w:hint="cs"/>
          <w:sz w:val="36"/>
          <w:szCs w:val="36"/>
          <w:rtl/>
          <w:lang w:bidi="ar-EG"/>
        </w:rPr>
        <w:lastRenderedPageBreak/>
        <w:t>الإعدام قصاصاً من القاتل،</w:t>
      </w:r>
      <w:r>
        <w:rPr>
          <w:rStyle w:val="FootnoteReference"/>
          <w:rFonts w:ascii="Traditional Arabic" w:hAnsi="Traditional Arabic" w:cs="Traditional Arabic"/>
          <w:sz w:val="36"/>
          <w:szCs w:val="36"/>
          <w:rtl/>
          <w:lang w:bidi="ar-EG"/>
        </w:rPr>
        <w:footnoteReference w:id="68"/>
      </w:r>
      <w:r>
        <w:rPr>
          <w:rFonts w:ascii="Traditional Arabic" w:hAnsi="Traditional Arabic" w:cs="Traditional Arabic" w:hint="cs"/>
          <w:sz w:val="36"/>
          <w:szCs w:val="36"/>
          <w:rtl/>
          <w:lang w:bidi="ar-EG"/>
        </w:rPr>
        <w:t xml:space="preserve"> حيث أن أصحاب هذا الرأي قد استشهدوا بقول الله عز وجل في كتابه العزيز: </w:t>
      </w:r>
      <w:r>
        <w:rPr>
          <w:rFonts w:ascii="Traditional Arabic" w:hAnsi="Traditional Arabic" w:cs="Traditional Arabic"/>
          <w:sz w:val="36"/>
          <w:szCs w:val="36"/>
          <w:rtl/>
          <w:lang w:bidi="ar-EG"/>
        </w:rPr>
        <w:t>﴿</w:t>
      </w:r>
      <w:r w:rsidRPr="003E73BE">
        <w:rPr>
          <w:rFonts w:ascii="Traditional Arabic" w:hAnsi="Traditional Arabic" w:cs="Traditional Arabic"/>
          <w:sz w:val="36"/>
          <w:szCs w:val="36"/>
          <w:rtl/>
          <w:lang w:bidi="ar-EG"/>
        </w:rPr>
        <w:t xml:space="preserve">وَلَا تَقْتُلُوا النَّفْسَ الَّتِي حَرَّمَ اللَّهُ إِلَّا بِالْحَقِّ </w:t>
      </w:r>
      <w:r w:rsidRPr="003E73BE">
        <w:rPr>
          <w:rFonts w:hint="cs"/>
          <w:sz w:val="36"/>
          <w:szCs w:val="36"/>
          <w:rtl/>
          <w:lang w:bidi="ar-EG"/>
        </w:rPr>
        <w:t>ۗ</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وَمَن</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قُتِلَ</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مَظْلُومًا</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فَقَدْ</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جَعَلْنَا</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لِوَلِيِّهِ</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سُلْط</w:t>
      </w:r>
      <w:r w:rsidRPr="003E73BE">
        <w:rPr>
          <w:rFonts w:ascii="Traditional Arabic" w:hAnsi="Traditional Arabic" w:cs="Traditional Arabic"/>
          <w:sz w:val="36"/>
          <w:szCs w:val="36"/>
          <w:rtl/>
          <w:lang w:bidi="ar-EG"/>
        </w:rPr>
        <w:t xml:space="preserve">َانًا فَلَا يُسْرِف فِّي الْقَتْلِ </w:t>
      </w:r>
      <w:r w:rsidRPr="003E73BE">
        <w:rPr>
          <w:rFonts w:hint="cs"/>
          <w:sz w:val="36"/>
          <w:szCs w:val="36"/>
          <w:rtl/>
          <w:lang w:bidi="ar-EG"/>
        </w:rPr>
        <w:t>ۖ</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إِنَّهُ</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كَانَ</w:t>
      </w:r>
      <w:r w:rsidRPr="003E73BE">
        <w:rPr>
          <w:rFonts w:ascii="Traditional Arabic" w:hAnsi="Traditional Arabic" w:cs="Traditional Arabic"/>
          <w:sz w:val="36"/>
          <w:szCs w:val="36"/>
          <w:rtl/>
          <w:lang w:bidi="ar-EG"/>
        </w:rPr>
        <w:t xml:space="preserve"> </w:t>
      </w:r>
      <w:r w:rsidRPr="003E73BE">
        <w:rPr>
          <w:rFonts w:ascii="Traditional Arabic" w:hAnsi="Traditional Arabic" w:cs="Traditional Arabic" w:hint="cs"/>
          <w:sz w:val="36"/>
          <w:szCs w:val="36"/>
          <w:rtl/>
          <w:lang w:bidi="ar-EG"/>
        </w:rPr>
        <w:t>مَنصُورًا</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69"/>
      </w:r>
      <w:r>
        <w:rPr>
          <w:rFonts w:ascii="Traditional Arabic" w:hAnsi="Traditional Arabic" w:cs="Traditional Arabic" w:hint="cs"/>
          <w:sz w:val="36"/>
          <w:szCs w:val="36"/>
          <w:rtl/>
          <w:lang w:bidi="ar-EG"/>
        </w:rPr>
        <w:t xml:space="preserve">  كما قال رسول الله صلى الله عليه وسلم من حديث عبادة بن الصامت رضي الله عنه: </w:t>
      </w:r>
      <w:r>
        <w:rPr>
          <w:rFonts w:ascii="Traditional Arabic" w:hAnsi="Traditional Arabic" w:cs="Traditional Arabic"/>
          <w:sz w:val="36"/>
          <w:szCs w:val="36"/>
          <w:rtl/>
          <w:lang w:bidi="ar-EG"/>
        </w:rPr>
        <w:t>﴿</w:t>
      </w:r>
      <w:r w:rsidRPr="000B1E92">
        <w:rPr>
          <w:rFonts w:ascii="Traditional Arabic" w:hAnsi="Traditional Arabic" w:cs="Traditional Arabic"/>
          <w:sz w:val="36"/>
          <w:szCs w:val="36"/>
          <w:rtl/>
          <w:lang w:bidi="ar-EG"/>
        </w:rPr>
        <w:t>بايعوني علي ألا تشركوا بالله ولاتسرقوا ولاتزنوا ولاتقتلوا النفس التي حرم الله إلا بالحق، ولاتقتلوا أولادكم ولا تأتوا ببهتان تفترونه بين أيديكم وأرجلكم، ولاتعصوني في معروف، فمن وفي منكم فأجره علي الله ومن أصاب من ذلك شيئاً فأخذ به في الدنيا فهو كفارة له وطهور، ومن ستره الله فذلك إلي الله إن شاء عذبه وإن شاء غفر له</w:t>
      </w:r>
      <w:r w:rsidRPr="004F11B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Pr>
          <w:rStyle w:val="FootnoteReference"/>
          <w:rFonts w:ascii="Traditional Arabic" w:hAnsi="Traditional Arabic" w:cs="Traditional Arabic"/>
          <w:sz w:val="36"/>
          <w:szCs w:val="36"/>
          <w:rtl/>
          <w:lang w:bidi="ar-EG"/>
        </w:rPr>
        <w:footnoteReference w:id="70"/>
      </w:r>
      <w:r>
        <w:rPr>
          <w:rFonts w:ascii="Traditional Arabic" w:hAnsi="Traditional Arabic" w:cs="Traditional Arabic" w:hint="cs"/>
          <w:sz w:val="36"/>
          <w:szCs w:val="36"/>
          <w:rtl/>
          <w:lang w:bidi="ar-EG"/>
        </w:rPr>
        <w:t xml:space="preserve"> وبالتالي فإن حكم جريمة الغيله قد تعتبر قتلاً عمداً وفقاً للمالكية والحنابلة وقد تعد افساداً في الأرض وفقاً لرأي الشافعية والأحناف.</w:t>
      </w:r>
      <w:r>
        <w:rPr>
          <w:rStyle w:val="FootnoteReference"/>
          <w:rFonts w:ascii="Traditional Arabic" w:hAnsi="Traditional Arabic" w:cs="Traditional Arabic"/>
          <w:sz w:val="36"/>
          <w:szCs w:val="36"/>
          <w:rtl/>
          <w:lang w:bidi="ar-EG"/>
        </w:rPr>
        <w:footnoteReference w:id="71"/>
      </w:r>
      <w:r>
        <w:rPr>
          <w:rFonts w:ascii="Traditional Arabic" w:hAnsi="Traditional Arabic" w:cs="Traditional Arabic" w:hint="cs"/>
          <w:sz w:val="36"/>
          <w:szCs w:val="36"/>
          <w:rtl/>
          <w:lang w:bidi="ar-EG"/>
        </w:rPr>
        <w:t xml:space="preserve"> </w:t>
      </w:r>
      <w:r w:rsidR="00167EA8">
        <w:rPr>
          <w:rFonts w:ascii="Traditional Arabic" w:hAnsi="Traditional Arabic" w:cs="Traditional Arabic" w:hint="cs"/>
          <w:sz w:val="36"/>
          <w:szCs w:val="36"/>
          <w:rtl/>
          <w:lang w:bidi="ar-EG"/>
        </w:rPr>
        <w:t xml:space="preserve"> </w:t>
      </w:r>
    </w:p>
    <w:p w14:paraId="455D2753" w14:textId="77777777" w:rsidR="00167EA8" w:rsidRPr="00737110" w:rsidRDefault="00167EA8" w:rsidP="00167EA8">
      <w:pPr>
        <w:tabs>
          <w:tab w:val="left" w:pos="1604"/>
        </w:tabs>
        <w:jc w:val="both"/>
        <w:rPr>
          <w:rFonts w:ascii="Traditional Arabic" w:hAnsi="Traditional Arabic" w:cs="Traditional Arabic"/>
          <w:b/>
          <w:bCs/>
          <w:sz w:val="36"/>
          <w:szCs w:val="36"/>
          <w:rtl/>
          <w:lang w:bidi="ar-EG"/>
        </w:rPr>
      </w:pPr>
      <w:r w:rsidRPr="00737110">
        <w:rPr>
          <w:rFonts w:ascii="Traditional Arabic" w:hAnsi="Traditional Arabic" w:cs="Traditional Arabic" w:hint="cs"/>
          <w:b/>
          <w:bCs/>
          <w:sz w:val="36"/>
          <w:szCs w:val="36"/>
          <w:rtl/>
          <w:lang w:bidi="ar-EG"/>
        </w:rPr>
        <w:t>الحالات التي يجب تطبيق عقوبة الإعدام في القانون الليبي</w:t>
      </w:r>
    </w:p>
    <w:p w14:paraId="21BA63FC" w14:textId="77777777" w:rsidR="00694203" w:rsidRDefault="00632BF0" w:rsidP="00632BF0">
      <w:pPr>
        <w:tabs>
          <w:tab w:val="left" w:pos="1604"/>
        </w:tabs>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 xml:space="preserve">مما لاشك فيه أن القانون الليبي مستمد من الشريعة الإسلامية الغراء، وبالتالي فإن كافة الحالات والجرائم المنصوص عليها في القانون الليبي هي تعتبر نفس الحالات المنصوص عليها في الشريعة الإسلامية، ولايوجد خلاف بين المتخصصين أن القانون الليبي مستمد بشكل كامل من نصوص الشريعة الإسلامية. حيث أكدت المادة 14 من قانون العقوبات الليبي أنه لايوجد إخلال بين نصوص قانون العقوبات الليبي وبين الشريعة الإسلامية الغراء. كما أنه لايمكن اطلاق الأحكام جزافاً، حيث أكد نصوص قانون العقوبات الليبي المادة رقم 1 أنه لاعقوبة ولاجريمة إلا بوجود نص قانوني وحكم قضائي بات ونهائي، وهو ما يميز النظام القانوني والنظام القضائي معاً. ومن المؤكد أن قانون العقوبات الليبي يحتوي على العديد من المواد القانونية بشأن تطبيق عقوبة الإعدام وبشأن وضعها في القانون، حيث أكدت المادة رقم 17 أن عقوبة الإعدام من العقوبات الأصيلة أي من العقوبات التي لايمكن أن يكون لها بديل وأن العقوبة معتمده بالنظام </w:t>
      </w:r>
      <w:r>
        <w:rPr>
          <w:rFonts w:ascii="Traditional Arabic" w:hAnsi="Traditional Arabic" w:cs="Traditional Arabic" w:hint="cs"/>
          <w:sz w:val="36"/>
          <w:szCs w:val="36"/>
          <w:rtl/>
          <w:lang w:bidi="ar-EG"/>
        </w:rPr>
        <w:lastRenderedPageBreak/>
        <w:t>القانوني والنظام القضائي الليبي. وأشارت المادة 18 أنه لايمكن إطلاق الحكم بعقوبة الإعدام إلا بعد تأكد القاضي بالأدلة الثبوتيه وليس الظنية وبعد الإستماع إلى شهادة الشهود واقرار المتهم أو المتهمين على أنفسهم ، كما يستلزم من القاضي الإستماع إلى هيئة الدفاع ومحاولة التأكد من الأدلة التي تقدمها هيئة الدفاع عن المتهم، فإذا ثبت أن هناك أدلة على البراءة أو ظهور أدلة جديدة يتم الرجوع إلى درجات التقاضي مرة أخرى.</w:t>
      </w:r>
      <w:r>
        <w:rPr>
          <w:rStyle w:val="FootnoteReference"/>
          <w:rFonts w:ascii="Traditional Arabic" w:hAnsi="Traditional Arabic" w:cs="Traditional Arabic"/>
          <w:sz w:val="36"/>
          <w:szCs w:val="36"/>
          <w:rtl/>
          <w:lang w:bidi="ar-EG"/>
        </w:rPr>
        <w:footnoteReference w:id="72"/>
      </w:r>
      <w:r>
        <w:rPr>
          <w:rFonts w:ascii="Traditional Arabic" w:hAnsi="Traditional Arabic" w:cs="Traditional Arabic" w:hint="cs"/>
          <w:sz w:val="36"/>
          <w:szCs w:val="36"/>
          <w:rtl/>
          <w:lang w:bidi="ar-EG"/>
        </w:rPr>
        <w:t xml:space="preserve"> كما أن القانون الليبي قد حدد بشكل كامل الوسائل المستخدمة في تنفيذ عقوبة الإعدام، حيث أشارت المادة 19 من قانون العقوبات أن كل متهم محكوم عليه بعقوبة الإعدام يقتل رمياً بالرصاص حين صدور أمراً من المحكمة بثبوت تنفيذ الحكم. وبالرغم من أن قانون العقوبات الليبي قد أوضح أساليب وإجراءات التقاضي إلا أن المادة 27 من قانون العقوبات قد أشارت إلى صلاحيات القضاة في تحديد العقوبات حيث لايمكن التعدي على صلاحيات القضاة أو انتقاصها وللقاضي استخدام صلاحياته في توقيع العقوبة التي يراها مناسبة. وبالرغم من أن قانون العقوبات الليبي يحمي المتهم في العديد من إجراءات التقاضي المبرمه إلا أن المادة 28 تشير إلى أن القاضي له الحق في تقدير العقوبة حسب خطورة الجريمة وتوافر دوافع ارتكاب الجريمة بشكل عام، كما يمكن للقاضي أن يحدد العقوبة وفقاً لطبيعة الفعل ونوعه والوسائل التي تمت بها الجريمة. كما يمكن للقاضي أن يقدر العقوبة وفقاً لدرجة الجسامة التي تمت بها الجريمة. وتشير المادة 28 من قانون العقوبات الليبي أن القاضي يمكنه أن يحدد مقدار العقوبة أيضاَ وفقاً لتوافر النية والقصد العمدي لارتكاب الجريمة من عدمه. كما أن للقاضي وفقاً للمادة 28 أن يحدد العقوبة وفقاً لحياة المتهم العائلية وظروفة الشخصية ودوافع ارتكاب الجريمة وسلوك المتهم وقت ارتكاب الجريمة. وأكدت المادة 29 من قانون العقوبات الليبي أن القاضي من صلاحيته استبدال عقوبة الإعدام بعقوبة السجن المؤبد، ويجوز للقاضي استخدام صلاحيته وفقاً لظروف ارتكاب الجريمة ووضع المتهم اجتماعياً ونفسياً وقت ارتكاب الجريمة أن يحدد الجرم الذي ارتكبه وفقاً لتقدير القاضي لتلك الظروف. كما أشارت المادة 29 مكرر من قانون العقوبات الليبي أن القاضي يمكنه أن يزيد العقوبة أو ينقص منها وفقاً لنصوص القانون في هذا الصدد. وبالتالي وبعد استعراض تلك المواد القانونية فإنه يمكن القول أن السلطة التنفيذية تلتزم بنصوص قانون العقوبات الليبي من حيث سلامة إجراءات التقاضي وفق الجرائم </w:t>
      </w:r>
      <w:r>
        <w:rPr>
          <w:rFonts w:ascii="Traditional Arabic" w:hAnsi="Traditional Arabic" w:cs="Traditional Arabic" w:hint="cs"/>
          <w:sz w:val="36"/>
          <w:szCs w:val="36"/>
          <w:rtl/>
          <w:lang w:bidi="ar-EG"/>
        </w:rPr>
        <w:lastRenderedPageBreak/>
        <w:t>والحالات المنصوص عليها بالقانون.</w:t>
      </w:r>
      <w:r>
        <w:rPr>
          <w:rStyle w:val="FootnoteReference"/>
          <w:rFonts w:ascii="Traditional Arabic" w:hAnsi="Traditional Arabic" w:cs="Traditional Arabic"/>
          <w:sz w:val="36"/>
          <w:szCs w:val="36"/>
          <w:rtl/>
          <w:lang w:bidi="ar-EG"/>
        </w:rPr>
        <w:footnoteReference w:id="73"/>
      </w:r>
      <w:r>
        <w:rPr>
          <w:rFonts w:ascii="Traditional Arabic" w:hAnsi="Traditional Arabic" w:cs="Traditional Arabic" w:hint="cs"/>
          <w:sz w:val="36"/>
          <w:szCs w:val="36"/>
          <w:rtl/>
          <w:lang w:bidi="ar-EG"/>
        </w:rPr>
        <w:t xml:space="preserve"> ولقد أشارت المادة السابعة من قانون القصاص والدية الليبي أن الحالات التي تستلزم تطبيق عقوبة الإعدام غير المنصوص عليها في قانون العقوبات الليبي وقانون الجزاءات الليبي، يمكن الحصول عليها من أحكام الشريعة الإسلامية وهو مايشير إلى أهمية التصنيفات الخاصة بالجرائم والحالات التي تستلزم تطبيق عقوبة الإعدام وفقاً لكل حالة على حدة. وتجدر الإشارة إلى أن قانون القصاص والدية من أبرز القوانين التي يمكن الإستعانة بها في أحكام القصاص هو نص المادة رقم 2 التي تنص على ضرورة تطبيق عقوبة الإعدام قصاصاً لمن ارتكب جرائم القتل العمد، فإذا عفا ولى الدم تحولت العقوبة وفقاً لقانون القصاص والدية إلى حصول المتهم على العقوبة البديلة وهي أن يقوم بدفع الدية، ووفقاً لأحكام قانون العقوبات الليبي مادة 28 التي تنص على أن القضاة وحدهم من يحددون حجم العقوبة ومقدارها وفقاً للظروف التي ارتكبت خلالها الجريمة ووضع الجاني والملابسات التي حدثت. </w:t>
      </w:r>
    </w:p>
    <w:p w14:paraId="069A834E" w14:textId="77777777" w:rsidR="00167EA8" w:rsidRDefault="00167EA8" w:rsidP="00167EA8">
      <w:pPr>
        <w:jc w:val="both"/>
        <w:rPr>
          <w:rFonts w:ascii="Traditional Arabic" w:hAnsi="Traditional Arabic" w:cs="Traditional Arabic"/>
          <w:b/>
          <w:bCs/>
          <w:sz w:val="36"/>
          <w:szCs w:val="36"/>
          <w:rtl/>
          <w:lang w:bidi="ar-EG"/>
        </w:rPr>
      </w:pPr>
      <w:r w:rsidRPr="00167EA8">
        <w:rPr>
          <w:rFonts w:ascii="Traditional Arabic" w:hAnsi="Traditional Arabic" w:cs="Traditional Arabic" w:hint="cs"/>
          <w:b/>
          <w:bCs/>
          <w:sz w:val="36"/>
          <w:szCs w:val="36"/>
          <w:rtl/>
          <w:lang w:bidi="ar-EG"/>
        </w:rPr>
        <w:t>النتائج والتوصيات</w:t>
      </w:r>
    </w:p>
    <w:p w14:paraId="70AC091F" w14:textId="77777777" w:rsidR="00082519" w:rsidRDefault="00CD2162" w:rsidP="00167EA8">
      <w:pPr>
        <w:jc w:val="both"/>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 xml:space="preserve">مناقشة </w:t>
      </w:r>
      <w:r w:rsidR="00082519">
        <w:rPr>
          <w:rFonts w:ascii="Traditional Arabic" w:hAnsi="Traditional Arabic" w:cs="Traditional Arabic" w:hint="cs"/>
          <w:b/>
          <w:bCs/>
          <w:sz w:val="36"/>
          <w:szCs w:val="36"/>
          <w:rtl/>
          <w:lang w:bidi="ar-EG"/>
        </w:rPr>
        <w:t>النتائج</w:t>
      </w:r>
    </w:p>
    <w:p w14:paraId="12E6D689" w14:textId="77777777" w:rsidR="00CD2162" w:rsidRDefault="00082519" w:rsidP="00CD2162">
      <w:pPr>
        <w:jc w:val="both"/>
        <w:rPr>
          <w:rFonts w:ascii="Traditional Arabic" w:hAnsi="Traditional Arabic" w:cs="Traditional Arabic"/>
          <w:sz w:val="36"/>
          <w:szCs w:val="36"/>
          <w:rtl/>
          <w:lang w:bidi="ar-EG"/>
        </w:rPr>
      </w:pPr>
      <w:r w:rsidRPr="00082519">
        <w:rPr>
          <w:rFonts w:ascii="Traditional Arabic" w:hAnsi="Traditional Arabic" w:cs="Traditional Arabic" w:hint="cs"/>
          <w:sz w:val="36"/>
          <w:szCs w:val="36"/>
          <w:rtl/>
          <w:lang w:bidi="ar-EG"/>
        </w:rPr>
        <w:t xml:space="preserve">أوضحت نتائج الدراسة أن القانون الليبي مستمد من الشريعة الإسلامية وبالتالي فإن نصوص الشريعة الإسلامية وخاصة القرآن الكريم والسنة النبوية المطهرة وآراء الفقهاء محل اعتبار في وجهة نظر المشرع الليبي. كما أن القانون الليبي لايمكنه إلغاء تطبيق عقوبة الإعدام حيث أنها تم إقرارها لتحقيق الزجر العام في المجتمع، وبالتالي لايمكن للمشرع الليبي التخلى عن تطبيق عقوبة الإعدام مقابل الحفاظ على السلام والأمن الإجتماعي الذي تحققه تطبيق عقوبة الإعدام في المجتمع. ومن الجدير بالذكر أن الدراسة قد أوضحت أن القانون الليبي يحدد الطريقة التي يتم تطبيق عقوبة الإعدام على من ثبتت التهمة عليهم وهي إطلاق الرصاص بمعرفة السلطة التنفيذية. </w:t>
      </w:r>
      <w:r>
        <w:rPr>
          <w:rFonts w:ascii="Traditional Arabic" w:hAnsi="Traditional Arabic" w:cs="Traditional Arabic" w:hint="cs"/>
          <w:sz w:val="36"/>
          <w:szCs w:val="36"/>
          <w:rtl/>
          <w:lang w:bidi="ar-EG"/>
        </w:rPr>
        <w:t xml:space="preserve">وأوضحت الدراسة أن الشريعة الإسلامية قد فرقت وأوضحت الحالات التي يتم تطبيق عقوبة الإعدام عليها، ولاخلاف من اتباع القانون الليبي لقانون القصاص والدية المنصوص عليه والمعمول به في ليبيا، وبالتالي فإن كل الحالات التي تم الإشارة إليها من جرائم الغيله والجرائم التي تستلزم إنزال العقوبات التعزيريه على الجناة مستمده من الشريعة الإسلامية ومنصوص عليها بنفس القدر في قانون العقوبات الليبي وقانون القصاص والدية الليبي. ومن جانب آخر، فإن المشرع الليبي يرى أنه </w:t>
      </w:r>
      <w:r w:rsidR="00694203">
        <w:rPr>
          <w:rFonts w:ascii="Traditional Arabic" w:hAnsi="Traditional Arabic" w:cs="Traditional Arabic" w:hint="cs"/>
          <w:sz w:val="36"/>
          <w:szCs w:val="36"/>
          <w:rtl/>
          <w:lang w:bidi="ar-EG"/>
        </w:rPr>
        <w:t xml:space="preserve">في حالة ظهور </w:t>
      </w:r>
      <w:r w:rsidR="00694203">
        <w:rPr>
          <w:rFonts w:ascii="Traditional Arabic" w:hAnsi="Traditional Arabic" w:cs="Traditional Arabic" w:hint="cs"/>
          <w:sz w:val="36"/>
          <w:szCs w:val="36"/>
          <w:rtl/>
          <w:lang w:bidi="ar-EG"/>
        </w:rPr>
        <w:lastRenderedPageBreak/>
        <w:t xml:space="preserve">دليل يفضي إلى تغيير في سير القضية تعود القضية مرة أخرى للمحكمة الإبتدائية لإعادة النظر فيها مرة أخرى وفقاً للأدلة المادية وشهادة الشهود. </w:t>
      </w:r>
      <w:r w:rsidR="00CD2162">
        <w:rPr>
          <w:rFonts w:ascii="Traditional Arabic" w:hAnsi="Traditional Arabic" w:cs="Traditional Arabic" w:hint="cs"/>
          <w:sz w:val="36"/>
          <w:szCs w:val="36"/>
          <w:rtl/>
          <w:lang w:bidi="ar-EG"/>
        </w:rPr>
        <w:t xml:space="preserve">وبالتالي فإن فرضية الدراسة قد تحققت حيث أن الجرائم التي تستلزم تطبيق عقوبة الإعدام في القانون الليبي مستمدة من أحكام الشريعة الإسلامية. ويمكن مناقشة نتائج الدراسة من خلال أهداف الدراسة </w:t>
      </w:r>
    </w:p>
    <w:p w14:paraId="3CC10B61" w14:textId="77777777" w:rsidR="00CD2162" w:rsidRPr="00CD2162" w:rsidRDefault="00CD2162" w:rsidP="00CD2162">
      <w:pPr>
        <w:jc w:val="both"/>
        <w:rPr>
          <w:rFonts w:ascii="Traditional Arabic" w:hAnsi="Traditional Arabic" w:cs="Traditional Arabic"/>
          <w:b/>
          <w:bCs/>
          <w:sz w:val="36"/>
          <w:szCs w:val="36"/>
          <w:rtl/>
          <w:lang w:bidi="ar-EG"/>
        </w:rPr>
      </w:pPr>
      <w:r w:rsidRPr="00CD2162">
        <w:rPr>
          <w:rFonts w:ascii="Traditional Arabic" w:hAnsi="Traditional Arabic" w:cs="Traditional Arabic" w:hint="cs"/>
          <w:b/>
          <w:bCs/>
          <w:sz w:val="36"/>
          <w:szCs w:val="36"/>
          <w:rtl/>
          <w:lang w:bidi="ar-EG"/>
        </w:rPr>
        <w:t>1. مفهوم عقوبة الإعدام في القانون الليبي والشريعة الإسلامية.</w:t>
      </w:r>
    </w:p>
    <w:p w14:paraId="54DE5843" w14:textId="77777777" w:rsidR="005057D9" w:rsidRDefault="00CD2162" w:rsidP="005057D9">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أوضحت نتائج الدراسة أنه لايوجد ما يسمي بمفهوم عقوبة الإعدام في الشريعة الإسلامية </w:t>
      </w:r>
      <w:r w:rsidR="005057D9">
        <w:rPr>
          <w:rFonts w:ascii="Traditional Arabic" w:hAnsi="Traditional Arabic" w:cs="Traditional Arabic" w:hint="cs"/>
          <w:sz w:val="36"/>
          <w:szCs w:val="36"/>
          <w:rtl/>
          <w:lang w:bidi="ar-EG"/>
        </w:rPr>
        <w:t xml:space="preserve">وأوضحت نتائج الدراسة أن عقوبة الإعدام في الشريعة هو كل ما أوضحته أحكام الشريعة وخاصة القرآن الكريم والسنة النبوية المطهرة واتفق عليه تفسيره المجامع الفقهية مثل الإمام أبوحنيفة والإمام مالك والإمام الشافعي والإمام أحمد حنبل. كما أن مفهوم عقوبة الإعدام في القانون الليبي يعتبر مستمد من تفسير وآراء هؤلاء العلماء بعد التأكد من أحكام الشريعة في القرآن الكريم والسنة النبوية المطهرة. </w:t>
      </w:r>
      <w:r>
        <w:rPr>
          <w:rFonts w:ascii="Traditional Arabic" w:hAnsi="Traditional Arabic" w:cs="Traditional Arabic" w:hint="cs"/>
          <w:sz w:val="36"/>
          <w:szCs w:val="36"/>
          <w:rtl/>
          <w:lang w:bidi="ar-EG"/>
        </w:rPr>
        <w:t xml:space="preserve">وبالتالي فإن مصطلح ومفهوم عقوبة الإعدام مصطلح مستحدث ولكنه يتماشي بالمعني عن كل العقوبة التي تطبق على كل من ارتكب الجرائم المنصوص عليها في أحكام الشريعة الإسلامية والمنصوص عليها وفقاً لأحكام القانون الليبي وخاصة قانون العقوبات وقانون القصاص والدية الليبي. </w:t>
      </w:r>
      <w:r w:rsidR="005057D9">
        <w:rPr>
          <w:rFonts w:ascii="Traditional Arabic" w:hAnsi="Traditional Arabic" w:cs="Traditional Arabic" w:hint="cs"/>
          <w:sz w:val="36"/>
          <w:szCs w:val="36"/>
          <w:rtl/>
          <w:lang w:bidi="ar-EG"/>
        </w:rPr>
        <w:t xml:space="preserve">ومن ناحية أخري فإن علماء المالكية والأحناف والحنابلة والشافعية لم يختلفوا في تحديد مفهوم عقوبة الإعدام حيث أجمعوا على أنها العقوبة التي تطبق على كل من ارتكب جرائم القتل العمد أو الجرائم التعزيريه أو جرائم الحدود، وبالرغم من اختلاف العلماء في التعرف على ظروف وملابسات وطرق ارتكاب الجريمة إلا أن حكم عقوبة الإعدام في أحكام الشريعة لاخلاف فيه، وهو مايغسر اتخاذ قانون العقوبات الليبي المادة رقم 7 في وصف عقوبة الإعدام بأنها من العقوبات الأصلية وهو مايعني لايمكن استبدالها بغيرها ولايمكن التخلى عن تطبيق تلك العقوبة بشكل واضح كما أشارت المادة القانونية سالفة الذكر. </w:t>
      </w:r>
    </w:p>
    <w:p w14:paraId="70ECDBE0" w14:textId="77777777" w:rsidR="00CD2162" w:rsidRPr="005057D9" w:rsidRDefault="00CD2162" w:rsidP="005057D9">
      <w:pPr>
        <w:jc w:val="both"/>
        <w:rPr>
          <w:rFonts w:ascii="Traditional Arabic" w:hAnsi="Traditional Arabic" w:cs="Traditional Arabic"/>
          <w:b/>
          <w:bCs/>
          <w:sz w:val="36"/>
          <w:szCs w:val="36"/>
          <w:rtl/>
          <w:lang w:bidi="ar-EG"/>
        </w:rPr>
      </w:pPr>
      <w:r w:rsidRPr="005057D9">
        <w:rPr>
          <w:rFonts w:ascii="Traditional Arabic" w:hAnsi="Traditional Arabic" w:cs="Traditional Arabic" w:hint="cs"/>
          <w:b/>
          <w:bCs/>
          <w:sz w:val="36"/>
          <w:szCs w:val="36"/>
          <w:rtl/>
          <w:lang w:bidi="ar-EG"/>
        </w:rPr>
        <w:t>2. الجرائم التي تستلزم تطبيق عقوبة الإعدام في القانون الليبي والشريعة الإسلامية</w:t>
      </w:r>
    </w:p>
    <w:p w14:paraId="5193BB94" w14:textId="5548BD79" w:rsidR="00DA2F0B" w:rsidRDefault="005057D9" w:rsidP="00E1394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أوضحت نتائج الدراسة أن هناك العديد من أنواع الجرائم التي تستلزم تطبيق عقوبة الإعدام في الشريعة الإسلامية والقانون الليبي. ومن بين أبرز تلك الجرائم القتل العمد، فقد اتفقت آراء العلماء على ضرورة تطبيق عقوبة الإعدام على كل من ارتكب جريمة القتل بنية وقصد عن عمد، وهو ما التزم به قانون العقوبات الليبي وقانون القصاص والدية، أما حالات جرائم التعزير مثل جريمة الاغتصاب وجرائم الاتجار </w:t>
      </w:r>
      <w:r>
        <w:rPr>
          <w:rFonts w:ascii="Traditional Arabic" w:hAnsi="Traditional Arabic" w:cs="Traditional Arabic" w:hint="cs"/>
          <w:sz w:val="36"/>
          <w:szCs w:val="36"/>
          <w:rtl/>
          <w:lang w:bidi="ar-EG"/>
        </w:rPr>
        <w:lastRenderedPageBreak/>
        <w:t>بالمخدرات واهانة الأنبياء</w:t>
      </w:r>
      <w:r w:rsidR="00DA2F0B">
        <w:rPr>
          <w:rFonts w:ascii="Traditional Arabic" w:hAnsi="Traditional Arabic" w:cs="Traditional Arabic" w:hint="cs"/>
          <w:sz w:val="36"/>
          <w:szCs w:val="36"/>
          <w:rtl/>
          <w:lang w:bidi="ar-EG"/>
        </w:rPr>
        <w:t>، فيطبق عليها عقوبة الإعدام وفقاً لأحكام الشريعة الإسلامية، كما أن نص المادة 7 من قانون القصاص والدية أشارت إلى أن الجرائم التي ليس لها نصوص قانونية تستمد مباشرة من أحكام الشريعة الإسلامية، ومن ناحية أخرى فإن جرائم الردة يطبق عليها عقوبة الإعدام، وبالرغم من أن العلماء قد اختلفوا في تطبيق عقوبة الإعدام على الطفل الذي ارتكب الجرائم إلا أن الفقهاء قد اجمعوا على وجوب الإنتظار حتي يبلغ الطفل الحلم ثم بعد ذلك يطبق عليه حكم عقوبة الإعدام. أما جرائم الغيلة فقد أشارت أحكام الشريعة بأنه يجب تطبيق عقوبة الإعدام لإرتكابه جريمة القتل العمد قصاصاً. ومن ناحية أخرى فإن جرائم الإفساد في الأرض والتخريب والحرق والسطو المسلح يمكن تطبيق حد الحرابه، وهو الحد الذي يمكن تطبيقه للحد من الإفساد في الأرض. ومن الجدير بالذكر أن المرآة يسري عليها نفس الأحكام إلا أن المرآة (المحصنة) التي ارتكبت جريمة الزنا فإنه يمكن الإنتظار إلى حين أن تضع المولود وأن ترضعه حولين كاملين ثم يطبق عليها عقوبة الإعدام. وبعد استعراض كافة الجرائم التي تستلزم تطبيق عقوبة الإعدام فإنه يمكن القول بأن الشريعة الإسلامية هي المصدر الرئيسي للتشريع وبالتالي فإن قانون العقوبات الليبي يعتمد على أحكام الشريعة الإسلامية في تطبيق عقوبة الإعدام لترسيخ فكرة الأمن والعدالة في المجتمع. وكذلك فإن هناك العديد من الجرائم التي تحتاج إلى مناقشة وحوار لتحديد موقف الجاني، فجريمة الردة تحتاج إلى مناقشة من يرتد ومنحه الفرصة للتوبة والعودة مرة أخري، فإن تفلح المحاولات يطبق عليه عقوبة الإعدام. وكذلك فإن بعض الجرائم تحتاج إلى أدلة ثبوتيه لايرقي إليها الشك، مثل جريمة الزنا (للزاني المحصن) أو جريمة الإفساد في الأرض، وبالتالي فإن</w:t>
      </w:r>
      <w:r w:rsidR="00511C97">
        <w:rPr>
          <w:rFonts w:ascii="Traditional Arabic" w:hAnsi="Traditional Arabic" w:cs="Traditional Arabic" w:hint="cs"/>
          <w:sz w:val="36"/>
          <w:szCs w:val="36"/>
          <w:rtl/>
          <w:lang w:bidi="ar-EG"/>
        </w:rPr>
        <w:t xml:space="preserve"> تطبيق عقوبة الإعدام لايمكن أن يأتي بالأدلة الظنية، كما أنه وفقاً لقانون العقوبات الليبي فإنه لايمكن تطببق عقوبة الإعدام إلا بنص قانوني وحكم قضائي، وهو مايدل على عدالة ونزاهة النظام القانوني الليبي. </w:t>
      </w:r>
      <w:r w:rsidR="00DA2F0B">
        <w:rPr>
          <w:rFonts w:ascii="Traditional Arabic" w:hAnsi="Traditional Arabic" w:cs="Traditional Arabic" w:hint="cs"/>
          <w:sz w:val="36"/>
          <w:szCs w:val="36"/>
          <w:rtl/>
          <w:lang w:bidi="ar-EG"/>
        </w:rPr>
        <w:t xml:space="preserve">  </w:t>
      </w:r>
    </w:p>
    <w:p w14:paraId="2B8FF76E" w14:textId="77777777" w:rsidR="00694203" w:rsidRPr="00694203" w:rsidRDefault="00694203" w:rsidP="00167EA8">
      <w:pPr>
        <w:jc w:val="both"/>
        <w:rPr>
          <w:rFonts w:ascii="Traditional Arabic" w:hAnsi="Traditional Arabic" w:cs="Traditional Arabic"/>
          <w:b/>
          <w:bCs/>
          <w:sz w:val="36"/>
          <w:szCs w:val="36"/>
          <w:rtl/>
          <w:lang w:bidi="ar-EG"/>
        </w:rPr>
      </w:pPr>
      <w:r w:rsidRPr="00694203">
        <w:rPr>
          <w:rFonts w:ascii="Traditional Arabic" w:hAnsi="Traditional Arabic" w:cs="Traditional Arabic" w:hint="cs"/>
          <w:b/>
          <w:bCs/>
          <w:sz w:val="36"/>
          <w:szCs w:val="36"/>
          <w:rtl/>
          <w:lang w:bidi="ar-EG"/>
        </w:rPr>
        <w:t>التوصيات</w:t>
      </w:r>
    </w:p>
    <w:p w14:paraId="4D14088F" w14:textId="77777777" w:rsidR="00082519" w:rsidRPr="00082519" w:rsidRDefault="00694203" w:rsidP="00167EA8">
      <w:pPr>
        <w:jc w:val="both"/>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ولقد أوصت الدراسة بالعديد من التوصيات من بينها مايلي:</w:t>
      </w:r>
    </w:p>
    <w:p w14:paraId="14992860" w14:textId="77777777" w:rsidR="00ED217B" w:rsidRPr="00694203" w:rsidRDefault="00694203" w:rsidP="00167EA8">
      <w:pPr>
        <w:jc w:val="both"/>
        <w:rPr>
          <w:rFonts w:ascii="Traditional Arabic" w:hAnsi="Traditional Arabic" w:cs="Traditional Arabic"/>
          <w:sz w:val="36"/>
          <w:szCs w:val="36"/>
          <w:rtl/>
          <w:lang w:bidi="ar-EG"/>
        </w:rPr>
      </w:pPr>
      <w:r w:rsidRPr="00694203">
        <w:rPr>
          <w:rFonts w:ascii="Traditional Arabic" w:hAnsi="Traditional Arabic" w:cs="Traditional Arabic" w:hint="cs"/>
          <w:sz w:val="36"/>
          <w:szCs w:val="36"/>
          <w:rtl/>
          <w:lang w:bidi="ar-EG"/>
        </w:rPr>
        <w:t xml:space="preserve">1.استمرار المناقشة مع المنظمات الدولية بشأن فوائد تطبيق عقوبة الإعدام وأثرها على تحقيق الزجر العام في المجتمع الليبي. </w:t>
      </w:r>
    </w:p>
    <w:p w14:paraId="52AE96DB" w14:textId="77777777" w:rsidR="00694203" w:rsidRPr="00694203" w:rsidRDefault="00694203" w:rsidP="00167EA8">
      <w:pPr>
        <w:jc w:val="both"/>
        <w:rPr>
          <w:rFonts w:ascii="Traditional Arabic" w:hAnsi="Traditional Arabic" w:cs="Traditional Arabic"/>
          <w:sz w:val="36"/>
          <w:szCs w:val="36"/>
          <w:rtl/>
          <w:lang w:bidi="ar-EG"/>
        </w:rPr>
      </w:pPr>
      <w:r w:rsidRPr="00694203">
        <w:rPr>
          <w:rFonts w:ascii="Traditional Arabic" w:hAnsi="Traditional Arabic" w:cs="Traditional Arabic" w:hint="cs"/>
          <w:sz w:val="36"/>
          <w:szCs w:val="36"/>
          <w:rtl/>
          <w:lang w:bidi="ar-EG"/>
        </w:rPr>
        <w:t xml:space="preserve">2.ضرورة إعادة تبويب نصوص قانون العقوبات وفقاً للجرائم المرتكبه وبيان الجرائم المتعلقه بعقوبة الإعدام. </w:t>
      </w:r>
    </w:p>
    <w:p w14:paraId="0EDE414E" w14:textId="77777777" w:rsidR="00694203" w:rsidRPr="00694203" w:rsidRDefault="00694203" w:rsidP="00167EA8">
      <w:pPr>
        <w:jc w:val="both"/>
        <w:rPr>
          <w:rFonts w:ascii="Traditional Arabic" w:hAnsi="Traditional Arabic" w:cs="Traditional Arabic"/>
          <w:sz w:val="36"/>
          <w:szCs w:val="36"/>
          <w:rtl/>
          <w:lang w:bidi="ar-EG"/>
        </w:rPr>
      </w:pPr>
      <w:r w:rsidRPr="00694203">
        <w:rPr>
          <w:rFonts w:ascii="Traditional Arabic" w:hAnsi="Traditional Arabic" w:cs="Traditional Arabic" w:hint="cs"/>
          <w:sz w:val="36"/>
          <w:szCs w:val="36"/>
          <w:rtl/>
          <w:lang w:bidi="ar-EG"/>
        </w:rPr>
        <w:lastRenderedPageBreak/>
        <w:t xml:space="preserve">3.حث المجتمع الدولي على احترام خصوصية الشعب الليبي وعدم السماح للمنظمات الدولية بإنتهاك سيادة ليبيا من خلال التدخل بتقييم النظام العقابي الليبي. </w:t>
      </w:r>
    </w:p>
    <w:p w14:paraId="7F7BF678" w14:textId="77777777" w:rsidR="00694203" w:rsidRDefault="00694203" w:rsidP="00167EA8">
      <w:pPr>
        <w:jc w:val="both"/>
        <w:rPr>
          <w:rFonts w:ascii="Traditional Arabic" w:hAnsi="Traditional Arabic" w:cs="Traditional Arabic"/>
          <w:sz w:val="36"/>
          <w:szCs w:val="36"/>
          <w:rtl/>
          <w:lang w:bidi="ar-EG"/>
        </w:rPr>
      </w:pPr>
      <w:r w:rsidRPr="00694203">
        <w:rPr>
          <w:rFonts w:ascii="Traditional Arabic" w:hAnsi="Traditional Arabic" w:cs="Traditional Arabic" w:hint="cs"/>
          <w:sz w:val="36"/>
          <w:szCs w:val="36"/>
          <w:rtl/>
          <w:lang w:bidi="ar-EG"/>
        </w:rPr>
        <w:t>4.</w:t>
      </w:r>
      <w:r>
        <w:rPr>
          <w:rFonts w:ascii="Traditional Arabic" w:hAnsi="Traditional Arabic" w:cs="Traditional Arabic" w:hint="cs"/>
          <w:sz w:val="36"/>
          <w:szCs w:val="36"/>
          <w:rtl/>
          <w:lang w:bidi="ar-EG"/>
        </w:rPr>
        <w:t>استمرار البحث العلمي بشأن تطبيق عقوبة الإعدام والنظر في النظام العقابي المطبق في كافة الأديان السماوية حتي يستفيد المشرع الليبي من النظم التي كانت مطبقه قبل الإسلام.</w:t>
      </w:r>
    </w:p>
    <w:p w14:paraId="51AB4F15" w14:textId="77777777" w:rsidR="00694203" w:rsidRDefault="00694203" w:rsidP="00167EA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5.محاولة تطبيق عقوبة الإعدام من خلال الوسائل الشرعية التي كانت مستخدمة من قبل والنظر في الوسائل الحالية وتحقيقها لأغراض تطبيق العقوبة في أقل وقت ممكن. </w:t>
      </w:r>
    </w:p>
    <w:p w14:paraId="3405AB47" w14:textId="77777777" w:rsidR="00694203" w:rsidRDefault="00511C97" w:rsidP="00167EA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6.القيام بحملة توعية من خلال وسائل الإعلام من أجل التحذير من ارتكاب الجرائم في المجتمع وعدم الانجرار وراء العنف والاقبال على السعي على المصالح الشخصية والأرزاق وترك المشاحنات درءاً للمشكلات التي من الممكن أن تحدث. </w:t>
      </w:r>
    </w:p>
    <w:p w14:paraId="588883AE" w14:textId="77777777" w:rsidR="00511C97" w:rsidRDefault="00511C97" w:rsidP="00167EA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7.التوسع في دراسة إحدي النظم القانونية المحيطة ولاسيما النظام القانوني التونسي ومحاولة مقارنة قانون العقوبات الليبي مع قانون العقوبات التونسي. </w:t>
      </w:r>
    </w:p>
    <w:p w14:paraId="08308F98" w14:textId="77777777" w:rsidR="00511C97" w:rsidRDefault="00511C97" w:rsidP="00167EA8">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8.قيام المشرع الليبي بإعادة ترتيب وتبويب النصوص القانونية الخاصة بإرتكاب جرائم تستلزم تطبيق عقوبة الإعدام مرة أخري. </w:t>
      </w:r>
    </w:p>
    <w:p w14:paraId="4A01647A" w14:textId="77777777" w:rsidR="00694203" w:rsidRDefault="00511C97" w:rsidP="00511C97">
      <w:pPr>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9.الإستعانة بالخبراء القانونيين وعلماء الشريعة لإعادة صياغة النصوص القانونية حتي تكون متماشية مع أحكام الشريعة الإسلامية.  </w:t>
      </w:r>
    </w:p>
    <w:p w14:paraId="4C77390F" w14:textId="108D8BDD" w:rsidR="00E13948" w:rsidRDefault="00E13948" w:rsidP="00167EA8">
      <w:pPr>
        <w:jc w:val="both"/>
        <w:rPr>
          <w:rFonts w:ascii="Traditional Arabic" w:hAnsi="Traditional Arabic" w:cs="Traditional Arabic"/>
          <w:b/>
          <w:bCs/>
          <w:sz w:val="36"/>
          <w:szCs w:val="36"/>
          <w:lang w:bidi="ar-EG"/>
        </w:rPr>
      </w:pPr>
    </w:p>
    <w:p w14:paraId="213B60A6" w14:textId="7DF77F17" w:rsidR="00F763B8" w:rsidRDefault="00F763B8" w:rsidP="00167EA8">
      <w:pPr>
        <w:jc w:val="both"/>
        <w:rPr>
          <w:rFonts w:ascii="Traditional Arabic" w:hAnsi="Traditional Arabic" w:cs="Traditional Arabic"/>
          <w:b/>
          <w:bCs/>
          <w:sz w:val="36"/>
          <w:szCs w:val="36"/>
          <w:lang w:bidi="ar-EG"/>
        </w:rPr>
      </w:pPr>
    </w:p>
    <w:p w14:paraId="1AD39DCD" w14:textId="43599278" w:rsidR="00F763B8" w:rsidRDefault="00F763B8" w:rsidP="00167EA8">
      <w:pPr>
        <w:jc w:val="both"/>
        <w:rPr>
          <w:rFonts w:ascii="Traditional Arabic" w:hAnsi="Traditional Arabic" w:cs="Traditional Arabic"/>
          <w:b/>
          <w:bCs/>
          <w:sz w:val="36"/>
          <w:szCs w:val="36"/>
          <w:lang w:bidi="ar-EG"/>
        </w:rPr>
      </w:pPr>
    </w:p>
    <w:p w14:paraId="5E54ECFE" w14:textId="7B14BF96" w:rsidR="00F763B8" w:rsidRDefault="00F763B8" w:rsidP="00167EA8">
      <w:pPr>
        <w:jc w:val="both"/>
        <w:rPr>
          <w:rFonts w:ascii="Traditional Arabic" w:hAnsi="Traditional Arabic" w:cs="Traditional Arabic"/>
          <w:b/>
          <w:bCs/>
          <w:sz w:val="36"/>
          <w:szCs w:val="36"/>
          <w:lang w:bidi="ar-EG"/>
        </w:rPr>
      </w:pPr>
    </w:p>
    <w:p w14:paraId="6606CC3C" w14:textId="2DD6059F" w:rsidR="00F763B8" w:rsidRDefault="00F763B8" w:rsidP="00167EA8">
      <w:pPr>
        <w:jc w:val="both"/>
        <w:rPr>
          <w:rFonts w:ascii="Traditional Arabic" w:hAnsi="Traditional Arabic" w:cs="Traditional Arabic"/>
          <w:b/>
          <w:bCs/>
          <w:sz w:val="36"/>
          <w:szCs w:val="36"/>
          <w:lang w:bidi="ar-EG"/>
        </w:rPr>
      </w:pPr>
    </w:p>
    <w:p w14:paraId="06A266DA" w14:textId="1F50749E" w:rsidR="00F763B8" w:rsidRDefault="00F763B8" w:rsidP="00167EA8">
      <w:pPr>
        <w:jc w:val="both"/>
        <w:rPr>
          <w:rFonts w:ascii="Traditional Arabic" w:hAnsi="Traditional Arabic" w:cs="Traditional Arabic"/>
          <w:b/>
          <w:bCs/>
          <w:sz w:val="36"/>
          <w:szCs w:val="36"/>
          <w:lang w:bidi="ar-EG"/>
        </w:rPr>
      </w:pPr>
    </w:p>
    <w:p w14:paraId="6C968672" w14:textId="65B0B454" w:rsidR="00F763B8" w:rsidRDefault="00F763B8" w:rsidP="00167EA8">
      <w:pPr>
        <w:jc w:val="both"/>
        <w:rPr>
          <w:rFonts w:ascii="Traditional Arabic" w:hAnsi="Traditional Arabic" w:cs="Traditional Arabic"/>
          <w:b/>
          <w:bCs/>
          <w:sz w:val="36"/>
          <w:szCs w:val="36"/>
          <w:lang w:bidi="ar-EG"/>
        </w:rPr>
      </w:pPr>
    </w:p>
    <w:p w14:paraId="4702F087" w14:textId="77777777" w:rsidR="00F763B8" w:rsidRPr="00E13948" w:rsidRDefault="00F763B8" w:rsidP="00167EA8">
      <w:pPr>
        <w:jc w:val="both"/>
        <w:rPr>
          <w:rFonts w:ascii="Traditional Arabic" w:hAnsi="Traditional Arabic" w:cs="Traditional Arabic"/>
          <w:b/>
          <w:bCs/>
          <w:sz w:val="36"/>
          <w:szCs w:val="36"/>
          <w:rtl/>
          <w:lang w:bidi="ar-EG"/>
        </w:rPr>
      </w:pPr>
    </w:p>
    <w:p w14:paraId="54E93714" w14:textId="77777777" w:rsidR="00167EA8" w:rsidRPr="00EE2F81" w:rsidRDefault="00167EA8" w:rsidP="00167EA8">
      <w:pPr>
        <w:jc w:val="center"/>
        <w:rPr>
          <w:rFonts w:ascii="Traditional Arabic" w:hAnsi="Traditional Arabic" w:cs="Traditional Arabic"/>
          <w:b/>
          <w:bCs/>
          <w:sz w:val="36"/>
          <w:szCs w:val="36"/>
          <w:rtl/>
          <w:lang w:bidi="ar-EG"/>
        </w:rPr>
      </w:pPr>
      <w:r w:rsidRPr="00EE2F81">
        <w:rPr>
          <w:rFonts w:ascii="Traditional Arabic" w:hAnsi="Traditional Arabic" w:cs="Traditional Arabic" w:hint="cs"/>
          <w:b/>
          <w:bCs/>
          <w:sz w:val="36"/>
          <w:szCs w:val="36"/>
          <w:rtl/>
          <w:lang w:bidi="ar-EG"/>
        </w:rPr>
        <w:lastRenderedPageBreak/>
        <w:t>قائمة المراجع والمصادر</w:t>
      </w:r>
    </w:p>
    <w:p w14:paraId="11F2E724" w14:textId="77777777" w:rsidR="00802F53" w:rsidRDefault="00802F53" w:rsidP="00802F53">
      <w:pPr>
        <w:pStyle w:val="Bibliography"/>
        <w:ind w:left="720" w:hanging="720"/>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القرآن الكريم</w:t>
      </w:r>
    </w:p>
    <w:p w14:paraId="2E9A00A2" w14:textId="77777777" w:rsidR="00802F53" w:rsidRDefault="00802F53" w:rsidP="00802F53">
      <w:pPr>
        <w:pStyle w:val="Bibliography"/>
        <w:ind w:left="720" w:hanging="720"/>
        <w:jc w:val="both"/>
        <w:rPr>
          <w:rFonts w:ascii="Traditional Arabic" w:hAnsi="Traditional Arabic" w:cs="Traditional Arabic"/>
          <w:sz w:val="48"/>
          <w:szCs w:val="48"/>
          <w:rtl/>
          <w:lang w:bidi="ar-EG"/>
        </w:rPr>
      </w:pPr>
      <w:r w:rsidRPr="00802F53">
        <w:rPr>
          <w:rFonts w:ascii="Traditional Arabic" w:hAnsi="Traditional Arabic" w:cs="Traditional Arabic"/>
          <w:sz w:val="36"/>
          <w:szCs w:val="36"/>
          <w:rtl/>
          <w:lang w:bidi="ar-EG"/>
        </w:rPr>
        <w:t xml:space="preserve">ابن عطاء الله الإسكندري وصلاح عبد التواب سعداوي. </w:t>
      </w:r>
      <w:r>
        <w:rPr>
          <w:rFonts w:ascii="Traditional Arabic" w:hAnsi="Traditional Arabic" w:cs="Traditional Arabic"/>
          <w:sz w:val="36"/>
          <w:szCs w:val="36"/>
          <w:lang w:bidi="ar-EG"/>
        </w:rPr>
        <w:t xml:space="preserve"> )</w:t>
      </w:r>
      <w:r>
        <w:rPr>
          <w:rFonts w:ascii="Traditional Arabic" w:hAnsi="Traditional Arabic" w:cs="Traditional Arabic" w:hint="cs"/>
          <w:sz w:val="36"/>
          <w:szCs w:val="36"/>
          <w:rtl/>
          <w:lang w:bidi="ar-EG"/>
        </w:rPr>
        <w:t xml:space="preserve">1988). </w:t>
      </w:r>
      <w:r w:rsidRPr="00802F53">
        <w:rPr>
          <w:rFonts w:ascii="Traditional Arabic" w:hAnsi="Traditional Arabic" w:cs="Traditional Arabic"/>
          <w:b/>
          <w:bCs/>
          <w:sz w:val="36"/>
          <w:szCs w:val="36"/>
          <w:rtl/>
          <w:lang w:bidi="ar-EG"/>
        </w:rPr>
        <w:t>الحكم العطائية</w:t>
      </w:r>
      <w:r w:rsidRPr="00802F53">
        <w:rPr>
          <w:rFonts w:ascii="Traditional Arabic" w:hAnsi="Traditional Arabic" w:cs="Traditional Arabic"/>
          <w:sz w:val="36"/>
          <w:szCs w:val="36"/>
          <w:rtl/>
          <w:lang w:bidi="ar-EG"/>
        </w:rPr>
        <w:t>. دار الفضيلة للنشر والتوزيع</w:t>
      </w:r>
      <w:r>
        <w:rPr>
          <w:rFonts w:ascii="Traditional Arabic" w:hAnsi="Traditional Arabic" w:cs="Traditional Arabic" w:hint="cs"/>
          <w:sz w:val="48"/>
          <w:szCs w:val="48"/>
          <w:rtl/>
          <w:lang w:bidi="ar-EG"/>
        </w:rPr>
        <w:t>.</w:t>
      </w:r>
    </w:p>
    <w:p w14:paraId="6517154D" w14:textId="77777777" w:rsidR="00802F53" w:rsidRDefault="00802F53" w:rsidP="00802F53">
      <w:pPr>
        <w:pStyle w:val="Bibliography"/>
        <w:ind w:left="720" w:hanging="720"/>
        <w:jc w:val="both"/>
        <w:rPr>
          <w:rFonts w:ascii="Traditional Arabic" w:hAnsi="Traditional Arabic" w:cs="Traditional Arabic"/>
          <w:sz w:val="36"/>
          <w:szCs w:val="36"/>
          <w:lang w:bidi="ar-EG"/>
        </w:rPr>
      </w:pPr>
      <w:r w:rsidRPr="00802F53">
        <w:rPr>
          <w:rFonts w:ascii="Traditional Arabic" w:hAnsi="Traditional Arabic" w:cs="Traditional Arabic"/>
          <w:sz w:val="36"/>
          <w:szCs w:val="36"/>
          <w:rtl/>
          <w:lang w:bidi="ar-EG"/>
        </w:rPr>
        <w:t xml:space="preserve">أحمد بن أبي الضياء وابن الساعاتي. </w:t>
      </w:r>
      <w:r>
        <w:rPr>
          <w:rFonts w:ascii="Traditional Arabic" w:hAnsi="Traditional Arabic" w:cs="Traditional Arabic"/>
          <w:sz w:val="36"/>
          <w:szCs w:val="36"/>
          <w:lang w:bidi="ar-EG"/>
        </w:rPr>
        <w:t>)</w:t>
      </w:r>
      <w:r>
        <w:rPr>
          <w:rFonts w:ascii="Traditional Arabic" w:hAnsi="Traditional Arabic" w:cs="Traditional Arabic" w:hint="cs"/>
          <w:sz w:val="36"/>
          <w:szCs w:val="36"/>
          <w:rtl/>
          <w:lang w:bidi="ar-EG"/>
        </w:rPr>
        <w:t xml:space="preserve">2005). </w:t>
      </w:r>
      <w:r w:rsidRPr="00802F53">
        <w:rPr>
          <w:rFonts w:ascii="Traditional Arabic" w:hAnsi="Traditional Arabic" w:cs="Traditional Arabic"/>
          <w:b/>
          <w:bCs/>
          <w:sz w:val="36"/>
          <w:szCs w:val="36"/>
          <w:rtl/>
          <w:lang w:bidi="ar-EG"/>
        </w:rPr>
        <w:t>مجمع البحرين وملتقى النيرين في الفقه الحنفي</w:t>
      </w:r>
      <w:r w:rsidRPr="00802F53">
        <w:rPr>
          <w:rFonts w:ascii="Traditional Arabic" w:hAnsi="Traditional Arabic" w:cs="Traditional Arabic"/>
          <w:sz w:val="36"/>
          <w:szCs w:val="36"/>
          <w:rtl/>
          <w:lang w:bidi="ar-EG"/>
        </w:rPr>
        <w:t>. دار الكتب العلمية</w:t>
      </w:r>
    </w:p>
    <w:p w14:paraId="41990BA1" w14:textId="77777777" w:rsidR="00802F53" w:rsidRPr="00802F53" w:rsidRDefault="00802F53" w:rsidP="00802F53">
      <w:pPr>
        <w:pStyle w:val="Bibliography"/>
        <w:ind w:left="720" w:hanging="720"/>
        <w:jc w:val="both"/>
        <w:rPr>
          <w:rFonts w:ascii="Traditional Arabic" w:hAnsi="Traditional Arabic" w:cs="Traditional Arabic"/>
          <w:sz w:val="36"/>
          <w:szCs w:val="36"/>
          <w:rtl/>
          <w:lang w:bidi="ar-EG"/>
        </w:rPr>
      </w:pPr>
      <w:r w:rsidRPr="00802F53">
        <w:rPr>
          <w:rFonts w:ascii="Traditional Arabic" w:hAnsi="Traditional Arabic" w:cs="Traditional Arabic"/>
          <w:sz w:val="36"/>
          <w:szCs w:val="36"/>
          <w:rtl/>
          <w:lang w:bidi="ar-EG"/>
        </w:rPr>
        <w:t xml:space="preserve">أزهري، محمد. </w:t>
      </w:r>
      <w:r>
        <w:rPr>
          <w:rFonts w:ascii="Traditional Arabic" w:hAnsi="Traditional Arabic" w:cs="Traditional Arabic"/>
          <w:sz w:val="36"/>
          <w:szCs w:val="36"/>
          <w:lang w:bidi="ar-EG"/>
        </w:rPr>
        <w:t>)</w:t>
      </w:r>
      <w:r>
        <w:rPr>
          <w:rFonts w:ascii="Traditional Arabic" w:hAnsi="Traditional Arabic" w:cs="Traditional Arabic" w:hint="cs"/>
          <w:sz w:val="36"/>
          <w:szCs w:val="36"/>
          <w:rtl/>
          <w:lang w:bidi="ar-EG"/>
        </w:rPr>
        <w:t xml:space="preserve">2019). </w:t>
      </w:r>
      <w:r w:rsidRPr="00802F53">
        <w:rPr>
          <w:rFonts w:ascii="Traditional Arabic" w:hAnsi="Traditional Arabic" w:cs="Traditional Arabic"/>
          <w:b/>
          <w:bCs/>
          <w:sz w:val="36"/>
          <w:szCs w:val="36"/>
          <w:rtl/>
          <w:lang w:bidi="ar-EG"/>
        </w:rPr>
        <w:t>تحليل المسائل التي يفتي عليها فقهاء الشافعية بالقول القديم</w:t>
      </w:r>
      <w:r w:rsidRPr="00802F53">
        <w:rPr>
          <w:rFonts w:ascii="Traditional Arabic" w:hAnsi="Traditional Arabic" w:cs="Traditional Arabic"/>
          <w:sz w:val="36"/>
          <w:szCs w:val="36"/>
          <w:rtl/>
          <w:lang w:bidi="ar-EG"/>
        </w:rPr>
        <w:t>، رسالة دكتوراة، جامعة مولانا مالك ابراهيم</w:t>
      </w:r>
    </w:p>
    <w:p w14:paraId="27600578" w14:textId="77777777" w:rsidR="00802F53" w:rsidRDefault="00167EA8" w:rsidP="00802F53">
      <w:pPr>
        <w:pStyle w:val="Bibliography"/>
        <w:ind w:left="720" w:hanging="720"/>
        <w:jc w:val="both"/>
        <w:rPr>
          <w:rFonts w:ascii="Traditional Arabic" w:hAnsi="Traditional Arabic" w:cs="Traditional Arabic"/>
          <w:sz w:val="36"/>
          <w:szCs w:val="36"/>
          <w:rtl/>
          <w:lang w:bidi="ar-EG"/>
        </w:rPr>
      </w:pPr>
      <w:r w:rsidRPr="00550CB3">
        <w:rPr>
          <w:rFonts w:ascii="Traditional Arabic" w:hAnsi="Traditional Arabic" w:cs="Traditional Arabic" w:hint="cs"/>
          <w:sz w:val="36"/>
          <w:szCs w:val="36"/>
          <w:rtl/>
          <w:lang w:bidi="ar-EG"/>
        </w:rPr>
        <w:t>القرشي، أحمد مرزوق سالم صالح وجلال الدين محمد مشرف</w:t>
      </w:r>
      <w:r>
        <w:rPr>
          <w:rFonts w:ascii="Traditional Arabic" w:hAnsi="Traditional Arabic" w:cs="Traditional Arabic" w:hint="cs"/>
          <w:sz w:val="36"/>
          <w:szCs w:val="36"/>
          <w:rtl/>
          <w:lang w:bidi="ar-EG"/>
        </w:rPr>
        <w:t>.</w:t>
      </w:r>
      <w:r w:rsidRPr="00550CB3">
        <w:rPr>
          <w:rFonts w:ascii="Traditional Arabic" w:hAnsi="Traditional Arabic" w:cs="Traditional Arabic" w:hint="cs"/>
          <w:sz w:val="36"/>
          <w:szCs w:val="36"/>
          <w:rtl/>
          <w:lang w:bidi="ar-EG"/>
        </w:rPr>
        <w:t xml:space="preserve"> </w:t>
      </w:r>
      <w:r w:rsidRPr="00EE2F81">
        <w:rPr>
          <w:rFonts w:ascii="Traditional Arabic" w:hAnsi="Traditional Arabic" w:cs="Traditional Arabic"/>
          <w:sz w:val="36"/>
          <w:szCs w:val="36"/>
          <w:rtl/>
          <w:lang w:bidi="ar-EG"/>
        </w:rPr>
        <w:t>(201</w:t>
      </w:r>
      <w:r>
        <w:rPr>
          <w:rFonts w:ascii="Traditional Arabic" w:hAnsi="Traditional Arabic" w:cs="Traditional Arabic" w:hint="cs"/>
          <w:sz w:val="36"/>
          <w:szCs w:val="36"/>
          <w:rtl/>
          <w:lang w:bidi="ar-EG"/>
        </w:rPr>
        <w:t>9</w:t>
      </w:r>
      <w:r w:rsidRPr="00EE2F8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550CB3">
        <w:rPr>
          <w:rFonts w:ascii="Traditional Arabic" w:hAnsi="Traditional Arabic" w:cs="Traditional Arabic" w:hint="cs"/>
          <w:b/>
          <w:bCs/>
          <w:sz w:val="36"/>
          <w:szCs w:val="36"/>
          <w:rtl/>
          <w:lang w:bidi="ar-EG"/>
        </w:rPr>
        <w:t>المسؤولية الجنائية عن الإغتيال دراسة تأصيلية مقارنة،  بالمواثيق والمعاهدات الدولية</w:t>
      </w:r>
      <w:r w:rsidRPr="00550CB3">
        <w:rPr>
          <w:rFonts w:ascii="Traditional Arabic" w:hAnsi="Traditional Arabic" w:cs="Traditional Arabic" w:hint="cs"/>
          <w:sz w:val="36"/>
          <w:szCs w:val="36"/>
          <w:rtl/>
          <w:lang w:bidi="ar-EG"/>
        </w:rPr>
        <w:t>، رسالة دكتوراة منشورة، جامعة نايف للعلوم الأمنية، المملكة العربية السعودية</w:t>
      </w:r>
      <w:r>
        <w:rPr>
          <w:rFonts w:ascii="Traditional Arabic" w:hAnsi="Traditional Arabic" w:cs="Traditional Arabic" w:hint="cs"/>
          <w:sz w:val="36"/>
          <w:szCs w:val="36"/>
          <w:rtl/>
          <w:lang w:bidi="ar-EG"/>
        </w:rPr>
        <w:t>.</w:t>
      </w:r>
    </w:p>
    <w:p w14:paraId="29BE883D" w14:textId="77777777" w:rsidR="00167EA8" w:rsidRPr="009A60A9" w:rsidRDefault="00167EA8" w:rsidP="00167EA8">
      <w:pPr>
        <w:pStyle w:val="Bibliography"/>
        <w:ind w:left="720" w:hanging="720"/>
        <w:jc w:val="both"/>
        <w:rPr>
          <w:rFonts w:ascii="Traditional Arabic" w:hAnsi="Traditional Arabic" w:cs="Traditional Arabic"/>
          <w:sz w:val="36"/>
          <w:szCs w:val="36"/>
          <w:rtl/>
          <w:lang w:bidi="ar-EG"/>
        </w:rPr>
      </w:pPr>
      <w:r w:rsidRPr="009A60A9">
        <w:rPr>
          <w:rFonts w:ascii="Traditional Arabic" w:hAnsi="Traditional Arabic" w:cs="Traditional Arabic"/>
          <w:sz w:val="36"/>
          <w:szCs w:val="36"/>
          <w:rtl/>
          <w:lang w:bidi="ar-EG"/>
        </w:rPr>
        <w:t>البدا</w:t>
      </w:r>
      <w:r>
        <w:rPr>
          <w:rFonts w:ascii="Traditional Arabic" w:hAnsi="Traditional Arabic" w:cs="Traditional Arabic"/>
          <w:sz w:val="36"/>
          <w:szCs w:val="36"/>
          <w:rtl/>
          <w:lang w:bidi="ar-EG"/>
        </w:rPr>
        <w:t>رين، أيمن عبد الحميد عبد المجيد</w:t>
      </w:r>
      <w:r>
        <w:rPr>
          <w:rFonts w:ascii="Traditional Arabic" w:hAnsi="Traditional Arabic" w:cs="Traditional Arabic" w:hint="cs"/>
          <w:sz w:val="36"/>
          <w:szCs w:val="36"/>
          <w:rtl/>
          <w:lang w:bidi="ar-EG"/>
        </w:rPr>
        <w:t>. (2020).</w:t>
      </w:r>
      <w:r w:rsidRPr="009A60A9">
        <w:rPr>
          <w:rFonts w:ascii="Traditional Arabic" w:hAnsi="Traditional Arabic" w:cs="Traditional Arabic"/>
          <w:sz w:val="36"/>
          <w:szCs w:val="36"/>
          <w:rtl/>
          <w:lang w:bidi="ar-EG"/>
        </w:rPr>
        <w:t xml:space="preserve"> </w:t>
      </w:r>
      <w:r w:rsidRPr="009A60A9">
        <w:rPr>
          <w:rFonts w:ascii="Traditional Arabic" w:hAnsi="Traditional Arabic" w:cs="Traditional Arabic"/>
          <w:b/>
          <w:bCs/>
          <w:sz w:val="36"/>
          <w:szCs w:val="36"/>
          <w:rtl/>
          <w:lang w:bidi="ar-EG"/>
        </w:rPr>
        <w:t>شروط القاتل في عقوبة القصاص (الإعدام) دراسة فقهية قانونية مقارنة</w:t>
      </w:r>
      <w:r w:rsidRPr="009A60A9">
        <w:rPr>
          <w:rFonts w:ascii="Traditional Arabic" w:hAnsi="Traditional Arabic" w:cs="Traditional Arabic"/>
          <w:sz w:val="36"/>
          <w:szCs w:val="36"/>
          <w:rtl/>
          <w:lang w:bidi="ar-EG"/>
        </w:rPr>
        <w:t>، ورقة بحثية منشورة، مجلة جامعة مؤته للعلوم الإن</w:t>
      </w:r>
      <w:r>
        <w:rPr>
          <w:rFonts w:ascii="Traditional Arabic" w:hAnsi="Traditional Arabic" w:cs="Traditional Arabic"/>
          <w:sz w:val="36"/>
          <w:szCs w:val="36"/>
          <w:rtl/>
          <w:lang w:bidi="ar-EG"/>
        </w:rPr>
        <w:t xml:space="preserve">سانية </w:t>
      </w:r>
      <w:r w:rsidRPr="009A60A9">
        <w:rPr>
          <w:rFonts w:ascii="Traditional Arabic" w:hAnsi="Traditional Arabic" w:cs="Traditional Arabic"/>
          <w:sz w:val="36"/>
          <w:szCs w:val="36"/>
          <w:rtl/>
          <w:lang w:bidi="ar-EG"/>
        </w:rPr>
        <w:t>والإجتماعية، الأردن.</w:t>
      </w:r>
    </w:p>
    <w:p w14:paraId="0D7D561E" w14:textId="77777777" w:rsidR="00CD2162" w:rsidRDefault="00167EA8" w:rsidP="00CD2162">
      <w:pPr>
        <w:pStyle w:val="Bibliography"/>
        <w:ind w:left="720" w:hanging="720"/>
        <w:jc w:val="both"/>
        <w:rPr>
          <w:rFonts w:ascii="Traditional Arabic" w:hAnsi="Traditional Arabic" w:cs="Traditional Arabic"/>
          <w:sz w:val="36"/>
          <w:szCs w:val="36"/>
          <w:lang w:bidi="ar-EG"/>
        </w:rPr>
      </w:pPr>
      <w:r w:rsidRPr="009A60A9">
        <w:rPr>
          <w:rFonts w:ascii="Traditional Arabic" w:hAnsi="Traditional Arabic" w:cs="Traditional Arabic"/>
          <w:sz w:val="36"/>
          <w:szCs w:val="36"/>
          <w:rtl/>
          <w:lang w:bidi="ar-EG"/>
        </w:rPr>
        <w:t xml:space="preserve">الحيدريج، سيد رقية عبد العباس، </w:t>
      </w:r>
      <w:r w:rsidRPr="009A60A9">
        <w:rPr>
          <w:rFonts w:ascii="Traditional Arabic" w:hAnsi="Traditional Arabic" w:cs="Traditional Arabic"/>
          <w:b/>
          <w:bCs/>
          <w:sz w:val="36"/>
          <w:szCs w:val="36"/>
          <w:rtl/>
          <w:lang w:bidi="ar-EG"/>
        </w:rPr>
        <w:t>العقوبات المقرره لتخريب الآثار</w:t>
      </w:r>
      <w:r w:rsidRPr="009A60A9">
        <w:rPr>
          <w:rFonts w:ascii="Traditional Arabic" w:hAnsi="Traditional Arabic" w:cs="Traditional Arabic"/>
          <w:sz w:val="36"/>
          <w:szCs w:val="36"/>
          <w:rtl/>
          <w:lang w:bidi="ar-EG"/>
        </w:rPr>
        <w:t>، ورقة بحثية منشورة، مجلة العلوم القانونية، العدد الأول، 2017م.</w:t>
      </w:r>
    </w:p>
    <w:p w14:paraId="1C5D7B17" w14:textId="77777777" w:rsidR="00CD2162" w:rsidRPr="00CD2162" w:rsidRDefault="00CD2162" w:rsidP="00CD2162">
      <w:pPr>
        <w:pStyle w:val="Bibliography"/>
        <w:ind w:left="720" w:hanging="720"/>
        <w:jc w:val="both"/>
        <w:rPr>
          <w:rFonts w:ascii="Traditional Arabic" w:hAnsi="Traditional Arabic" w:cs="Traditional Arabic"/>
          <w:sz w:val="36"/>
          <w:szCs w:val="36"/>
          <w:rtl/>
          <w:lang w:bidi="ar-EG"/>
        </w:rPr>
      </w:pPr>
      <w:r w:rsidRPr="00CD2162">
        <w:rPr>
          <w:rFonts w:ascii="Traditional Arabic" w:hAnsi="Traditional Arabic" w:cs="Traditional Arabic"/>
          <w:sz w:val="36"/>
          <w:szCs w:val="36"/>
          <w:rtl/>
          <w:lang w:bidi="ar-EG"/>
        </w:rPr>
        <w:t xml:space="preserve">الفيروز آبادي، </w:t>
      </w:r>
      <w:r>
        <w:rPr>
          <w:rFonts w:ascii="Traditional Arabic" w:hAnsi="Traditional Arabic" w:cs="Traditional Arabic"/>
          <w:sz w:val="36"/>
          <w:szCs w:val="36"/>
          <w:lang w:bidi="ar-EG"/>
        </w:rPr>
        <w:t>)</w:t>
      </w:r>
      <w:r w:rsidRPr="00CD2162">
        <w:rPr>
          <w:rFonts w:ascii="Traditional Arabic" w:hAnsi="Traditional Arabic" w:cs="Traditional Arabic"/>
          <w:sz w:val="36"/>
          <w:szCs w:val="36"/>
          <w:rtl/>
          <w:lang w:bidi="ar-EG"/>
        </w:rPr>
        <w:t xml:space="preserve"> 1371ه </w:t>
      </w:r>
      <w:r>
        <w:rPr>
          <w:rFonts w:ascii="Traditional Arabic" w:hAnsi="Traditional Arabic" w:cs="Traditional Arabic"/>
          <w:sz w:val="36"/>
          <w:szCs w:val="36"/>
          <w:lang w:bidi="ar-EG"/>
        </w:rPr>
        <w:t>(</w:t>
      </w:r>
      <w:r>
        <w:rPr>
          <w:rFonts w:ascii="Traditional Arabic" w:hAnsi="Traditional Arabic" w:cs="Traditional Arabic" w:hint="cs"/>
          <w:sz w:val="36"/>
          <w:szCs w:val="36"/>
          <w:rtl/>
          <w:lang w:bidi="ar-EG"/>
        </w:rPr>
        <w:t xml:space="preserve">. </w:t>
      </w:r>
      <w:r w:rsidRPr="00CD2162">
        <w:rPr>
          <w:rFonts w:ascii="Traditional Arabic" w:hAnsi="Traditional Arabic" w:cs="Traditional Arabic"/>
          <w:b/>
          <w:bCs/>
          <w:sz w:val="36"/>
          <w:szCs w:val="36"/>
          <w:rtl/>
          <w:lang w:bidi="ar-EG"/>
        </w:rPr>
        <w:t>القاموس المحـيط</w:t>
      </w:r>
      <w:r w:rsidRPr="00CD2162">
        <w:rPr>
          <w:rFonts w:ascii="Traditional Arabic" w:hAnsi="Traditional Arabic" w:cs="Traditional Arabic"/>
          <w:sz w:val="36"/>
          <w:szCs w:val="36"/>
          <w:rtl/>
          <w:lang w:bidi="ar-EG"/>
        </w:rPr>
        <w:t>، (مـصر: مطبعـة البـابي الحلـبي، ط2)، ج2، ص327؛ ابـن فـارس، أحمد بن فارس بن زكرياء القزويني الرازي، مقاييس اللغة، تحقيق عبد الـسلام هـارون، (مـصر: مطبعـة البـابي الحلـبي، ط2، 1392هـ)،ج5</w:t>
      </w:r>
    </w:p>
    <w:p w14:paraId="4947F20E" w14:textId="77777777" w:rsidR="00167EA8" w:rsidRPr="009A60A9" w:rsidRDefault="00167EA8" w:rsidP="00167EA8">
      <w:pPr>
        <w:pStyle w:val="Bibliography"/>
        <w:ind w:left="720" w:hanging="720"/>
        <w:jc w:val="both"/>
        <w:rPr>
          <w:rFonts w:ascii="Traditional Arabic" w:hAnsi="Traditional Arabic" w:cs="Traditional Arabic"/>
          <w:sz w:val="36"/>
          <w:szCs w:val="36"/>
          <w:rtl/>
          <w:lang w:bidi="ar-EG"/>
        </w:rPr>
      </w:pPr>
      <w:r w:rsidRPr="009A60A9">
        <w:rPr>
          <w:rFonts w:ascii="Traditional Arabic" w:hAnsi="Traditional Arabic" w:cs="Traditional Arabic"/>
          <w:sz w:val="36"/>
          <w:szCs w:val="36"/>
          <w:rtl/>
          <w:lang w:bidi="ar-EG"/>
        </w:rPr>
        <w:t>العفون، مختار عبد السلام</w:t>
      </w:r>
      <w:r>
        <w:rPr>
          <w:rFonts w:ascii="Traditional Arabic" w:hAnsi="Traditional Arabic" w:cs="Traditional Arabic" w:hint="cs"/>
          <w:sz w:val="36"/>
          <w:szCs w:val="36"/>
          <w:rtl/>
          <w:lang w:bidi="ar-EG"/>
        </w:rPr>
        <w:t>. (2020).</w:t>
      </w:r>
      <w:r w:rsidRPr="009A60A9">
        <w:rPr>
          <w:rFonts w:ascii="Traditional Arabic" w:hAnsi="Traditional Arabic" w:cs="Traditional Arabic"/>
          <w:sz w:val="36"/>
          <w:szCs w:val="36"/>
          <w:rtl/>
          <w:lang w:bidi="ar-EG"/>
        </w:rPr>
        <w:t xml:space="preserve"> </w:t>
      </w:r>
      <w:r w:rsidRPr="009A60A9">
        <w:rPr>
          <w:rFonts w:ascii="Traditional Arabic" w:hAnsi="Traditional Arabic" w:cs="Traditional Arabic"/>
          <w:b/>
          <w:bCs/>
          <w:sz w:val="36"/>
          <w:szCs w:val="36"/>
          <w:rtl/>
          <w:lang w:bidi="ar-EG"/>
        </w:rPr>
        <w:t>جريمة هتك العرض بين الشريعة الإسلامية والقانون الجزائري</w:t>
      </w:r>
      <w:r w:rsidRPr="009A60A9">
        <w:rPr>
          <w:rFonts w:ascii="Traditional Arabic" w:hAnsi="Traditional Arabic" w:cs="Traditional Arabic"/>
          <w:sz w:val="36"/>
          <w:szCs w:val="36"/>
          <w:rtl/>
          <w:lang w:bidi="ar-EG"/>
        </w:rPr>
        <w:t>، رسالة ماجستير منشورة، جامعة زيان عاشور بالجلفة، الجزائر</w:t>
      </w:r>
    </w:p>
    <w:p w14:paraId="681DCE9D" w14:textId="77777777" w:rsidR="00167EA8" w:rsidRDefault="00167EA8" w:rsidP="00167EA8">
      <w:pPr>
        <w:pStyle w:val="Bibliography"/>
        <w:ind w:left="720" w:hanging="720"/>
        <w:jc w:val="both"/>
        <w:rPr>
          <w:rFonts w:ascii="Traditional Arabic" w:hAnsi="Traditional Arabic" w:cs="Traditional Arabic"/>
          <w:sz w:val="36"/>
          <w:szCs w:val="36"/>
          <w:lang w:bidi="ar-EG"/>
        </w:rPr>
      </w:pPr>
      <w:r w:rsidRPr="009A60A9">
        <w:rPr>
          <w:rFonts w:ascii="Traditional Arabic" w:hAnsi="Traditional Arabic" w:cs="Traditional Arabic"/>
          <w:sz w:val="36"/>
          <w:szCs w:val="36"/>
          <w:rtl/>
          <w:lang w:bidi="ar-EG"/>
        </w:rPr>
        <w:t>الصادق، جدي.</w:t>
      </w:r>
      <w:r w:rsidRPr="009A60A9">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(2018).</w:t>
      </w:r>
      <w:r w:rsidRPr="009A60A9">
        <w:rPr>
          <w:rFonts w:ascii="Traditional Arabic" w:hAnsi="Traditional Arabic" w:cs="Traditional Arabic"/>
          <w:sz w:val="36"/>
          <w:szCs w:val="36"/>
          <w:rtl/>
          <w:lang w:bidi="ar-EG"/>
        </w:rPr>
        <w:t xml:space="preserve"> </w:t>
      </w:r>
      <w:r w:rsidRPr="009A60A9">
        <w:rPr>
          <w:rFonts w:ascii="Traditional Arabic" w:hAnsi="Traditional Arabic" w:cs="Traditional Arabic"/>
          <w:b/>
          <w:bCs/>
          <w:sz w:val="36"/>
          <w:szCs w:val="36"/>
          <w:rtl/>
          <w:lang w:bidi="ar-EG"/>
        </w:rPr>
        <w:t>مسؤولية الطفل الجزائية في الشريعة الإسلامية والتقنيين الجزائري والليبي</w:t>
      </w:r>
      <w:r w:rsidRPr="009A60A9">
        <w:rPr>
          <w:rFonts w:ascii="Traditional Arabic" w:hAnsi="Traditional Arabic" w:cs="Traditional Arabic"/>
          <w:sz w:val="36"/>
          <w:szCs w:val="36"/>
          <w:rtl/>
          <w:lang w:bidi="ar-EG"/>
        </w:rPr>
        <w:t xml:space="preserve">، رورقة بحثية منشورة، مجلة المفكر، جامعة محمد خيضر بسكرة، الجزائر </w:t>
      </w:r>
    </w:p>
    <w:p w14:paraId="5A8C3A78" w14:textId="77777777" w:rsidR="00167EA8" w:rsidRDefault="00167EA8" w:rsidP="00167EA8">
      <w:pPr>
        <w:pStyle w:val="Bibliography"/>
        <w:ind w:left="720" w:hanging="720"/>
        <w:jc w:val="both"/>
        <w:rPr>
          <w:rFonts w:ascii="Traditional Arabic" w:hAnsi="Traditional Arabic" w:cs="Traditional Arabic"/>
          <w:sz w:val="36"/>
          <w:szCs w:val="36"/>
          <w:lang w:bidi="ar-EG"/>
        </w:rPr>
      </w:pPr>
      <w:r w:rsidRPr="009A60A9">
        <w:rPr>
          <w:rFonts w:ascii="Traditional Arabic" w:hAnsi="Traditional Arabic" w:cs="Traditional Arabic"/>
          <w:sz w:val="36"/>
          <w:szCs w:val="36"/>
          <w:rtl/>
          <w:lang w:bidi="ar-EG"/>
        </w:rPr>
        <w:lastRenderedPageBreak/>
        <w:t xml:space="preserve">الزمخشري، جار الله أبي القاسم محمود بن عمر،. (1987). </w:t>
      </w:r>
      <w:r w:rsidRPr="009A60A9">
        <w:rPr>
          <w:rFonts w:ascii="Traditional Arabic" w:hAnsi="Traditional Arabic" w:cs="Traditional Arabic"/>
          <w:b/>
          <w:bCs/>
          <w:sz w:val="36"/>
          <w:szCs w:val="36"/>
          <w:rtl/>
          <w:lang w:bidi="ar-EG"/>
        </w:rPr>
        <w:t>أساس البلاغة</w:t>
      </w:r>
      <w:r w:rsidRPr="009A60A9">
        <w:rPr>
          <w:rFonts w:ascii="Traditional Arabic" w:hAnsi="Traditional Arabic" w:cs="Traditional Arabic"/>
          <w:sz w:val="36"/>
          <w:szCs w:val="36"/>
          <w:rtl/>
          <w:lang w:bidi="ar-EG"/>
        </w:rPr>
        <w:t>، (ت538) تحقيق الأستاذ عبدالرحيم محمود, دار المعرفة. بيروت.</w:t>
      </w:r>
    </w:p>
    <w:p w14:paraId="50ABFAD7" w14:textId="77777777" w:rsidR="00167EA8" w:rsidRDefault="00167EA8" w:rsidP="00167EA8">
      <w:pPr>
        <w:pStyle w:val="Bibliography"/>
        <w:ind w:left="720" w:hanging="720"/>
        <w:jc w:val="both"/>
        <w:rPr>
          <w:rFonts w:ascii="Traditional Arabic" w:hAnsi="Traditional Arabic" w:cs="Traditional Arabic"/>
          <w:sz w:val="36"/>
          <w:szCs w:val="36"/>
          <w:lang w:bidi="ar-EG"/>
        </w:rPr>
      </w:pPr>
      <w:r w:rsidRPr="009A60A9">
        <w:rPr>
          <w:rFonts w:ascii="Traditional Arabic" w:hAnsi="Traditional Arabic" w:cs="Traditional Arabic"/>
          <w:sz w:val="36"/>
          <w:szCs w:val="36"/>
          <w:rtl/>
          <w:lang w:bidi="ar-EG"/>
        </w:rPr>
        <w:t xml:space="preserve">الزبيدي، السيد محمد مرتضي،. (2001). </w:t>
      </w:r>
      <w:r w:rsidRPr="009A60A9">
        <w:rPr>
          <w:rFonts w:ascii="Traditional Arabic" w:hAnsi="Traditional Arabic" w:cs="Traditional Arabic"/>
          <w:b/>
          <w:bCs/>
          <w:sz w:val="36"/>
          <w:szCs w:val="36"/>
          <w:rtl/>
          <w:lang w:bidi="ar-EG"/>
        </w:rPr>
        <w:t>تاج العروس من جواهر القاموس</w:t>
      </w:r>
      <w:r w:rsidRPr="009A60A9">
        <w:rPr>
          <w:rFonts w:ascii="Traditional Arabic" w:hAnsi="Traditional Arabic" w:cs="Traditional Arabic"/>
          <w:sz w:val="36"/>
          <w:szCs w:val="36"/>
          <w:rtl/>
          <w:lang w:bidi="ar-EG"/>
        </w:rPr>
        <w:t>، حققه مجموعة من العلماء بإشراف وزارة الإعلام. دولة الكويت</w:t>
      </w:r>
    </w:p>
    <w:p w14:paraId="70C2DD7F" w14:textId="77777777" w:rsidR="00167EA8" w:rsidRPr="009A60A9" w:rsidRDefault="00167EA8" w:rsidP="00167EA8">
      <w:pPr>
        <w:pStyle w:val="Bibliography"/>
        <w:ind w:left="720" w:hanging="720"/>
        <w:jc w:val="both"/>
        <w:rPr>
          <w:rFonts w:ascii="Traditional Arabic" w:hAnsi="Traditional Arabic" w:cs="Traditional Arabic"/>
          <w:sz w:val="36"/>
          <w:szCs w:val="36"/>
          <w:rtl/>
          <w:lang w:bidi="ar-EG"/>
        </w:rPr>
      </w:pPr>
      <w:r w:rsidRPr="009A60A9">
        <w:rPr>
          <w:rFonts w:ascii="Traditional Arabic" w:hAnsi="Traditional Arabic" w:cs="Traditional Arabic"/>
          <w:sz w:val="36"/>
          <w:szCs w:val="36"/>
          <w:rtl/>
          <w:lang w:bidi="ar-EG"/>
        </w:rPr>
        <w:t xml:space="preserve">الطبراني، سليمان بن أحمد بن أيوب أبو القاسم،. (1980). </w:t>
      </w:r>
      <w:r w:rsidRPr="009A60A9">
        <w:rPr>
          <w:rFonts w:ascii="Traditional Arabic" w:hAnsi="Traditional Arabic" w:cs="Traditional Arabic"/>
          <w:b/>
          <w:bCs/>
          <w:sz w:val="36"/>
          <w:szCs w:val="36"/>
          <w:rtl/>
          <w:lang w:bidi="ar-EG"/>
        </w:rPr>
        <w:t>المعجم الكبير</w:t>
      </w:r>
      <w:r w:rsidRPr="009A60A9">
        <w:rPr>
          <w:rFonts w:ascii="Traditional Arabic" w:hAnsi="Traditional Arabic" w:cs="Traditional Arabic"/>
          <w:sz w:val="36"/>
          <w:szCs w:val="36"/>
          <w:rtl/>
          <w:lang w:bidi="ar-EG"/>
        </w:rPr>
        <w:t>، ت360ه، تحقيق حمدي بن عبد المجيد السلفي، مكنبة العلوم والحكم، الموصل.</w:t>
      </w:r>
    </w:p>
    <w:p w14:paraId="7EB857B4" w14:textId="77777777" w:rsidR="00167EA8" w:rsidRPr="009A60A9" w:rsidRDefault="00167EA8" w:rsidP="00167EA8">
      <w:pPr>
        <w:pStyle w:val="Bibliography"/>
        <w:ind w:left="720" w:hanging="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المفيد، عبد المفيد</w:t>
      </w:r>
      <w:r>
        <w:rPr>
          <w:rFonts w:ascii="Traditional Arabic" w:hAnsi="Traditional Arabic" w:cs="Traditional Arabic" w:hint="cs"/>
          <w:sz w:val="36"/>
          <w:szCs w:val="36"/>
          <w:rtl/>
          <w:lang w:bidi="ar-EG"/>
        </w:rPr>
        <w:t xml:space="preserve"> (2020). </w:t>
      </w:r>
      <w:r w:rsidRPr="009A60A9">
        <w:rPr>
          <w:rFonts w:ascii="Traditional Arabic" w:hAnsi="Traditional Arabic" w:cs="Traditional Arabic"/>
          <w:b/>
          <w:bCs/>
          <w:sz w:val="36"/>
          <w:szCs w:val="36"/>
          <w:rtl/>
          <w:lang w:bidi="ar-EG"/>
        </w:rPr>
        <w:t>سياسة معاقبة مرتكبي جرائم الفساد بإندونسيا في ضوء الجنائي الإسلامي</w:t>
      </w:r>
      <w:r w:rsidRPr="009A60A9">
        <w:rPr>
          <w:rFonts w:ascii="Traditional Arabic" w:hAnsi="Traditional Arabic" w:cs="Traditional Arabic"/>
          <w:sz w:val="36"/>
          <w:szCs w:val="36"/>
          <w:rtl/>
          <w:lang w:bidi="ar-EG"/>
        </w:rPr>
        <w:t>، ورقة بحثية منشورة، مجلة ليجاتي للشريعة، أندونسيا</w:t>
      </w:r>
    </w:p>
    <w:p w14:paraId="01099D4A" w14:textId="77777777" w:rsidR="00167EA8" w:rsidRDefault="00167EA8" w:rsidP="00167EA8">
      <w:pPr>
        <w:pStyle w:val="Bibliography"/>
        <w:ind w:left="720" w:hanging="720"/>
        <w:jc w:val="both"/>
        <w:rPr>
          <w:rFonts w:ascii="Traditional Arabic" w:hAnsi="Traditional Arabic" w:cs="Traditional Arabic"/>
          <w:sz w:val="36"/>
          <w:szCs w:val="36"/>
          <w:rtl/>
          <w:lang w:bidi="ar-EG"/>
        </w:rPr>
      </w:pPr>
      <w:r w:rsidRPr="009A60A9">
        <w:rPr>
          <w:rFonts w:ascii="Traditional Arabic" w:hAnsi="Traditional Arabic" w:cs="Traditional Arabic"/>
          <w:sz w:val="36"/>
          <w:szCs w:val="36"/>
          <w:rtl/>
          <w:lang w:bidi="ar-EG"/>
        </w:rPr>
        <w:t xml:space="preserve">القويفلي، محمد سليمان مقبل. (2018). </w:t>
      </w:r>
      <w:r w:rsidRPr="009A60A9">
        <w:rPr>
          <w:rFonts w:ascii="Traditional Arabic" w:hAnsi="Traditional Arabic" w:cs="Traditional Arabic"/>
          <w:b/>
          <w:bCs/>
          <w:sz w:val="36"/>
          <w:szCs w:val="36"/>
          <w:rtl/>
          <w:lang w:bidi="ar-EG"/>
        </w:rPr>
        <w:t>عقوبة</w:t>
      </w:r>
      <w:r w:rsidRPr="00550CB3">
        <w:rPr>
          <w:rFonts w:ascii="Traditional Arabic" w:hAnsi="Traditional Arabic" w:cs="Traditional Arabic" w:hint="cs"/>
          <w:sz w:val="36"/>
          <w:szCs w:val="36"/>
          <w:rtl/>
          <w:lang w:bidi="ar-EG"/>
        </w:rPr>
        <w:t xml:space="preserve"> </w:t>
      </w:r>
      <w:r w:rsidRPr="00550CB3">
        <w:rPr>
          <w:rFonts w:ascii="Traditional Arabic" w:hAnsi="Traditional Arabic" w:cs="Traditional Arabic" w:hint="cs"/>
          <w:b/>
          <w:bCs/>
          <w:sz w:val="36"/>
          <w:szCs w:val="36"/>
          <w:rtl/>
          <w:lang w:bidi="ar-EG"/>
        </w:rPr>
        <w:t>الإعدام في المملكة العربية السعودية بين المواثيق الدولية وخصوصية السعودي</w:t>
      </w:r>
      <w:r w:rsidRPr="00550CB3">
        <w:rPr>
          <w:rFonts w:ascii="Traditional Arabic" w:hAnsi="Traditional Arabic" w:cs="Traditional Arabic" w:hint="cs"/>
          <w:sz w:val="36"/>
          <w:szCs w:val="36"/>
          <w:rtl/>
          <w:lang w:bidi="ar-EG"/>
        </w:rPr>
        <w:t>، رسالة ماجستير غير منشورة، الجامعة الإسلامية العالمية ماليزيا</w:t>
      </w:r>
      <w:r>
        <w:rPr>
          <w:rFonts w:ascii="Traditional Arabic" w:hAnsi="Traditional Arabic" w:cs="Traditional Arabic" w:hint="cs"/>
          <w:sz w:val="36"/>
          <w:szCs w:val="36"/>
          <w:rtl/>
          <w:lang w:bidi="ar-EG"/>
        </w:rPr>
        <w:t>.</w:t>
      </w:r>
    </w:p>
    <w:p w14:paraId="68E3CDF6" w14:textId="77777777" w:rsidR="00167EA8" w:rsidRDefault="00167EA8" w:rsidP="00167EA8">
      <w:pPr>
        <w:pStyle w:val="Bibliography"/>
        <w:ind w:left="720" w:hanging="720"/>
        <w:jc w:val="both"/>
        <w:rPr>
          <w:rFonts w:ascii="Traditional Arabic" w:hAnsi="Traditional Arabic" w:cs="Traditional Arabic"/>
          <w:sz w:val="36"/>
          <w:szCs w:val="36"/>
          <w:rtl/>
          <w:lang w:bidi="ar-EG"/>
        </w:rPr>
      </w:pPr>
      <w:r w:rsidRPr="00925FF4">
        <w:rPr>
          <w:rFonts w:ascii="Traditional Arabic" w:hAnsi="Traditional Arabic" w:cs="Traditional Arabic" w:hint="cs"/>
          <w:sz w:val="36"/>
          <w:szCs w:val="36"/>
          <w:rtl/>
          <w:lang w:bidi="ar-EG"/>
        </w:rPr>
        <w:t xml:space="preserve">المصاروة، سيف إبراهيم محمد. </w:t>
      </w:r>
      <w:r>
        <w:rPr>
          <w:rFonts w:ascii="Traditional Arabic" w:hAnsi="Traditional Arabic" w:cs="Traditional Arabic" w:hint="cs"/>
          <w:sz w:val="36"/>
          <w:szCs w:val="36"/>
          <w:rtl/>
          <w:lang w:bidi="ar-EG"/>
        </w:rPr>
        <w:t xml:space="preserve">(2016). </w:t>
      </w:r>
      <w:r w:rsidRPr="00925FF4">
        <w:rPr>
          <w:rFonts w:ascii="Traditional Arabic" w:hAnsi="Traditional Arabic" w:cs="Traditional Arabic" w:hint="cs"/>
          <w:b/>
          <w:bCs/>
          <w:sz w:val="36"/>
          <w:szCs w:val="36"/>
          <w:rtl/>
          <w:lang w:bidi="ar-EG"/>
        </w:rPr>
        <w:t>الإشكاليات الخاصة بتنفيذ عقوبة الإعدام في التشريع الأردني</w:t>
      </w:r>
      <w:r w:rsidRPr="00925FF4">
        <w:rPr>
          <w:rFonts w:ascii="Traditional Arabic" w:hAnsi="Traditional Arabic" w:cs="Traditional Arabic" w:hint="cs"/>
          <w:sz w:val="36"/>
          <w:szCs w:val="36"/>
          <w:rtl/>
          <w:lang w:bidi="ar-EG"/>
        </w:rPr>
        <w:t>. ورقة بحثية منشورة، مجلة جامعة مؤتة بالأردن</w:t>
      </w:r>
      <w:r>
        <w:rPr>
          <w:rFonts w:ascii="Traditional Arabic" w:hAnsi="Traditional Arabic" w:cs="Traditional Arabic" w:hint="cs"/>
          <w:sz w:val="36"/>
          <w:szCs w:val="36"/>
          <w:rtl/>
          <w:lang w:bidi="ar-EG"/>
        </w:rPr>
        <w:t>.</w:t>
      </w:r>
    </w:p>
    <w:p w14:paraId="06614B69" w14:textId="77777777" w:rsidR="00167EA8" w:rsidRPr="00925FF4" w:rsidRDefault="00167EA8" w:rsidP="00167EA8">
      <w:pPr>
        <w:pStyle w:val="Bibliography"/>
        <w:ind w:left="720" w:hanging="720"/>
        <w:jc w:val="both"/>
        <w:rPr>
          <w:rFonts w:ascii="Traditional Arabic" w:hAnsi="Traditional Arabic" w:cs="Traditional Arabic"/>
          <w:sz w:val="36"/>
          <w:szCs w:val="36"/>
          <w:rtl/>
          <w:lang w:bidi="ar-EG"/>
        </w:rPr>
      </w:pPr>
      <w:r w:rsidRPr="005C46E0">
        <w:rPr>
          <w:rFonts w:ascii="Traditional Arabic" w:hAnsi="Traditional Arabic" w:cs="Traditional Arabic"/>
          <w:sz w:val="36"/>
          <w:szCs w:val="36"/>
          <w:rtl/>
          <w:lang w:bidi="ar-EG"/>
        </w:rPr>
        <w:t>أحمد أوغلو</w:t>
      </w:r>
      <w:r>
        <w:rPr>
          <w:rFonts w:ascii="Traditional Arabic" w:hAnsi="Traditional Arabic" w:cs="Traditional Arabic" w:hint="cs"/>
          <w:sz w:val="36"/>
          <w:szCs w:val="36"/>
          <w:rtl/>
          <w:lang w:bidi="ar-EG"/>
        </w:rPr>
        <w:t>.</w:t>
      </w:r>
      <w:r w:rsidRPr="005C46E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 xml:space="preserve">(2015). </w:t>
      </w:r>
      <w:r w:rsidRPr="005C46E0">
        <w:rPr>
          <w:rFonts w:ascii="Traditional Arabic" w:hAnsi="Traditional Arabic" w:cs="Traditional Arabic" w:hint="cs"/>
          <w:b/>
          <w:bCs/>
          <w:sz w:val="36"/>
          <w:szCs w:val="36"/>
          <w:rtl/>
          <w:lang w:bidi="ar-EG"/>
        </w:rPr>
        <w:t>عقوبة الإعدام بين المؤيدين لها والمعارضين</w:t>
      </w:r>
      <w:r w:rsidRPr="005C46E0">
        <w:rPr>
          <w:rFonts w:ascii="Traditional Arabic" w:hAnsi="Traditional Arabic" w:cs="Traditional Arabic"/>
          <w:sz w:val="36"/>
          <w:szCs w:val="36"/>
          <w:rtl/>
          <w:lang w:bidi="ar-EG"/>
        </w:rPr>
        <w:t xml:space="preserve">، </w:t>
      </w:r>
      <w:r w:rsidRPr="005C46E0">
        <w:rPr>
          <w:rFonts w:ascii="Traditional Arabic" w:hAnsi="Traditional Arabic" w:cs="Traditional Arabic" w:hint="cs"/>
          <w:sz w:val="36"/>
          <w:szCs w:val="36"/>
          <w:rtl/>
          <w:lang w:bidi="ar-EG"/>
        </w:rPr>
        <w:t>رسالة ماجستير</w:t>
      </w:r>
      <w:r w:rsidRPr="005C46E0">
        <w:rPr>
          <w:rFonts w:ascii="Traditional Arabic" w:hAnsi="Traditional Arabic" w:cs="Traditional Arabic"/>
          <w:sz w:val="36"/>
          <w:szCs w:val="36"/>
          <w:rtl/>
          <w:lang w:bidi="ar-EG"/>
        </w:rPr>
        <w:t xml:space="preserve">، </w:t>
      </w:r>
      <w:r w:rsidRPr="005C46E0">
        <w:rPr>
          <w:rFonts w:ascii="Traditional Arabic" w:hAnsi="Traditional Arabic" w:cs="Traditional Arabic" w:hint="cs"/>
          <w:sz w:val="36"/>
          <w:szCs w:val="36"/>
          <w:rtl/>
          <w:lang w:bidi="ar-EG"/>
        </w:rPr>
        <w:t>كلية الحقوق والعلوم السياسية، جامعة محمد خيضر بسكرة</w:t>
      </w:r>
      <w:r w:rsidRPr="005C46E0">
        <w:rPr>
          <w:rFonts w:ascii="Traditional Arabic" w:hAnsi="Traditional Arabic" w:cs="Traditional Arabic"/>
          <w:sz w:val="36"/>
          <w:szCs w:val="36"/>
          <w:rtl/>
          <w:lang w:bidi="ar-EG"/>
        </w:rPr>
        <w:t>،</w:t>
      </w:r>
      <w:r w:rsidRPr="005C46E0">
        <w:rPr>
          <w:rFonts w:ascii="Traditional Arabic" w:hAnsi="Traditional Arabic" w:cs="Traditional Arabic" w:hint="cs"/>
          <w:sz w:val="36"/>
          <w:szCs w:val="36"/>
          <w:rtl/>
          <w:lang w:bidi="ar-EG"/>
        </w:rPr>
        <w:t xml:space="preserve"> الجزائر،</w:t>
      </w:r>
    </w:p>
    <w:p w14:paraId="5D96AF71" w14:textId="77777777" w:rsidR="00167EA8" w:rsidRDefault="00167EA8" w:rsidP="00167EA8">
      <w:pPr>
        <w:pStyle w:val="Bibliography"/>
        <w:ind w:left="720" w:hanging="720"/>
        <w:jc w:val="both"/>
        <w:rPr>
          <w:rFonts w:ascii="Traditional Arabic" w:hAnsi="Traditional Arabic" w:cs="Traditional Arabic"/>
          <w:sz w:val="36"/>
          <w:szCs w:val="36"/>
          <w:rtl/>
          <w:lang w:bidi="ar-EG"/>
        </w:rPr>
      </w:pPr>
      <w:r w:rsidRPr="00550CB3">
        <w:rPr>
          <w:rFonts w:ascii="Traditional Arabic" w:hAnsi="Traditional Arabic" w:cs="Traditional Arabic" w:hint="cs"/>
          <w:sz w:val="36"/>
          <w:szCs w:val="36"/>
          <w:rtl/>
          <w:lang w:bidi="ar-EG"/>
        </w:rPr>
        <w:t xml:space="preserve">بن عزة، عبد الرزاق. </w:t>
      </w:r>
      <w:r>
        <w:rPr>
          <w:rFonts w:ascii="Traditional Arabic" w:hAnsi="Traditional Arabic" w:cs="Traditional Arabic" w:hint="cs"/>
          <w:sz w:val="36"/>
          <w:szCs w:val="36"/>
          <w:rtl/>
          <w:lang w:bidi="ar-EG"/>
        </w:rPr>
        <w:t xml:space="preserve">(2018). </w:t>
      </w:r>
      <w:r w:rsidRPr="00550CB3">
        <w:rPr>
          <w:rFonts w:ascii="Traditional Arabic" w:hAnsi="Traditional Arabic" w:cs="Traditional Arabic" w:hint="cs"/>
          <w:b/>
          <w:bCs/>
          <w:sz w:val="36"/>
          <w:szCs w:val="36"/>
          <w:rtl/>
          <w:lang w:bidi="ar-EG"/>
        </w:rPr>
        <w:t>عقوبة الإعدام دراسة مقارنة بين الشريعة الإسلامية والقانون الجنائي الجزائري</w:t>
      </w:r>
      <w:r w:rsidRPr="00550CB3">
        <w:rPr>
          <w:rFonts w:ascii="Traditional Arabic" w:hAnsi="Traditional Arabic" w:cs="Traditional Arabic" w:hint="cs"/>
          <w:sz w:val="36"/>
          <w:szCs w:val="36"/>
          <w:rtl/>
          <w:lang w:bidi="ar-EG"/>
        </w:rPr>
        <w:t>، رسالة ماجستير غير منشورة، جامعة الوادي، الجزائر</w:t>
      </w:r>
    </w:p>
    <w:p w14:paraId="78D57A02" w14:textId="77777777" w:rsidR="00167EA8" w:rsidRPr="009A60A9" w:rsidRDefault="00167EA8" w:rsidP="00167EA8">
      <w:pPr>
        <w:pStyle w:val="Bibliography"/>
        <w:ind w:left="720" w:hanging="720"/>
        <w:jc w:val="both"/>
        <w:rPr>
          <w:rFonts w:ascii="Traditional Arabic" w:hAnsi="Traditional Arabic" w:cs="Traditional Arabic"/>
          <w:sz w:val="36"/>
          <w:szCs w:val="36"/>
          <w:rtl/>
          <w:lang w:bidi="ar-EG"/>
        </w:rPr>
      </w:pPr>
      <w:r w:rsidRPr="009A60A9">
        <w:rPr>
          <w:rFonts w:ascii="Traditional Arabic" w:hAnsi="Traditional Arabic" w:cs="Traditional Arabic"/>
          <w:sz w:val="36"/>
          <w:szCs w:val="36"/>
          <w:rtl/>
          <w:lang w:bidi="ar-EG"/>
        </w:rPr>
        <w:t>بولحية، مصطفي</w:t>
      </w:r>
      <w:r w:rsidRPr="00550CB3">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(2019).</w:t>
      </w:r>
      <w:r w:rsidRPr="009A60A9">
        <w:rPr>
          <w:rFonts w:ascii="Traditional Arabic" w:hAnsi="Traditional Arabic" w:cs="Traditional Arabic"/>
          <w:sz w:val="36"/>
          <w:szCs w:val="36"/>
          <w:rtl/>
          <w:lang w:bidi="ar-EG"/>
        </w:rPr>
        <w:t xml:space="preserve"> </w:t>
      </w:r>
      <w:r w:rsidRPr="009A60A9">
        <w:rPr>
          <w:rFonts w:ascii="Traditional Arabic" w:hAnsi="Traditional Arabic" w:cs="Traditional Arabic"/>
          <w:b/>
          <w:bCs/>
          <w:sz w:val="36"/>
          <w:szCs w:val="36"/>
          <w:rtl/>
          <w:lang w:bidi="ar-EG"/>
        </w:rPr>
        <w:t>جريمة التخريب العمدي للعقار بين الفقة الإسلامي والقانون الجزائري</w:t>
      </w:r>
      <w:r w:rsidRPr="009A60A9">
        <w:rPr>
          <w:rFonts w:ascii="Traditional Arabic" w:hAnsi="Traditional Arabic" w:cs="Traditional Arabic"/>
          <w:sz w:val="36"/>
          <w:szCs w:val="36"/>
          <w:rtl/>
          <w:lang w:bidi="ar-EG"/>
        </w:rPr>
        <w:t>، رسالة دكتوراة منشورة، جامعة أحمد دراية، الجزائر</w:t>
      </w:r>
    </w:p>
    <w:p w14:paraId="30B69783" w14:textId="77777777" w:rsidR="00167EA8" w:rsidRPr="009A60A9" w:rsidRDefault="00167EA8" w:rsidP="00167EA8">
      <w:pPr>
        <w:pStyle w:val="Bibliography"/>
        <w:ind w:left="720" w:hanging="720"/>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بخير، سديد</w:t>
      </w:r>
      <w:r>
        <w:rPr>
          <w:rFonts w:ascii="Traditional Arabic" w:hAnsi="Traditional Arabic" w:cs="Traditional Arabic" w:hint="cs"/>
          <w:sz w:val="36"/>
          <w:szCs w:val="36"/>
          <w:rtl/>
          <w:lang w:bidi="ar-EG"/>
        </w:rPr>
        <w:t xml:space="preserve"> </w:t>
      </w:r>
      <w:r w:rsidRPr="00550CB3">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(2020).</w:t>
      </w:r>
      <w:r w:rsidRPr="009A60A9">
        <w:rPr>
          <w:rFonts w:ascii="Traditional Arabic" w:hAnsi="Traditional Arabic" w:cs="Traditional Arabic"/>
          <w:sz w:val="36"/>
          <w:szCs w:val="36"/>
          <w:rtl/>
          <w:lang w:bidi="ar-EG"/>
        </w:rPr>
        <w:t xml:space="preserve"> </w:t>
      </w:r>
      <w:r w:rsidRPr="009A60A9">
        <w:rPr>
          <w:rFonts w:ascii="Traditional Arabic" w:hAnsi="Traditional Arabic" w:cs="Traditional Arabic"/>
          <w:b/>
          <w:bCs/>
          <w:sz w:val="36"/>
          <w:szCs w:val="36"/>
          <w:rtl/>
          <w:lang w:bidi="ar-EG"/>
        </w:rPr>
        <w:t>الحماية الحنائية لحرمة الأنبياء دراسة مقارنة بين الشريعة والقانون في ضوء حرية الرأي والتعبير</w:t>
      </w:r>
      <w:r w:rsidRPr="009A60A9">
        <w:rPr>
          <w:rFonts w:ascii="Traditional Arabic" w:hAnsi="Traditional Arabic" w:cs="Traditional Arabic"/>
          <w:sz w:val="36"/>
          <w:szCs w:val="36"/>
          <w:rtl/>
          <w:lang w:bidi="ar-EG"/>
        </w:rPr>
        <w:t>، رسالة دكتوراة منشورة، جا</w:t>
      </w:r>
      <w:r>
        <w:rPr>
          <w:rFonts w:ascii="Traditional Arabic" w:hAnsi="Traditional Arabic" w:cs="Traditional Arabic"/>
          <w:sz w:val="36"/>
          <w:szCs w:val="36"/>
          <w:rtl/>
          <w:lang w:bidi="ar-EG"/>
        </w:rPr>
        <w:t>معة الحاج الأخضر باتنة، الجزائر</w:t>
      </w:r>
      <w:r>
        <w:rPr>
          <w:rFonts w:ascii="Traditional Arabic" w:hAnsi="Traditional Arabic" w:cs="Traditional Arabic" w:hint="cs"/>
          <w:sz w:val="36"/>
          <w:szCs w:val="36"/>
          <w:rtl/>
          <w:lang w:bidi="ar-EG"/>
        </w:rPr>
        <w:t>.</w:t>
      </w:r>
    </w:p>
    <w:p w14:paraId="67DF4EEF" w14:textId="77777777" w:rsidR="00167EA8" w:rsidRDefault="00167EA8" w:rsidP="00167EA8">
      <w:pPr>
        <w:pStyle w:val="Bibliography"/>
        <w:ind w:left="720" w:hanging="720"/>
        <w:jc w:val="both"/>
        <w:rPr>
          <w:rFonts w:ascii="Traditional Arabic" w:hAnsi="Traditional Arabic" w:cs="Traditional Arabic"/>
          <w:sz w:val="36"/>
          <w:szCs w:val="36"/>
          <w:rtl/>
          <w:lang w:bidi="ar-EG"/>
        </w:rPr>
      </w:pPr>
      <w:r w:rsidRPr="00550CB3">
        <w:rPr>
          <w:rFonts w:ascii="Traditional Arabic" w:hAnsi="Traditional Arabic" w:cs="Traditional Arabic" w:hint="cs"/>
          <w:sz w:val="36"/>
          <w:szCs w:val="36"/>
          <w:rtl/>
          <w:lang w:bidi="ar-EG"/>
        </w:rPr>
        <w:t>حجيلة، عبد الله</w:t>
      </w:r>
      <w:r>
        <w:rPr>
          <w:rFonts w:ascii="Traditional Arabic" w:hAnsi="Traditional Arabic" w:cs="Traditional Arabic" w:hint="cs"/>
          <w:sz w:val="36"/>
          <w:szCs w:val="36"/>
          <w:rtl/>
          <w:lang w:bidi="ar-EG"/>
        </w:rPr>
        <w:t>. (2017).</w:t>
      </w:r>
      <w:r w:rsidRPr="00550CB3">
        <w:rPr>
          <w:rFonts w:ascii="Traditional Arabic" w:hAnsi="Traditional Arabic" w:cs="Traditional Arabic" w:hint="cs"/>
          <w:sz w:val="36"/>
          <w:szCs w:val="36"/>
          <w:rtl/>
          <w:lang w:bidi="ar-EG"/>
        </w:rPr>
        <w:t xml:space="preserve"> </w:t>
      </w:r>
      <w:r w:rsidRPr="00550CB3">
        <w:rPr>
          <w:rFonts w:ascii="Traditional Arabic" w:hAnsi="Traditional Arabic" w:cs="Traditional Arabic" w:hint="cs"/>
          <w:b/>
          <w:bCs/>
          <w:sz w:val="36"/>
          <w:szCs w:val="36"/>
          <w:rtl/>
          <w:lang w:bidi="ar-EG"/>
        </w:rPr>
        <w:t>حدود سلطة القاضي في تطبيق العقوبة السالبة للحرية بعد عفو أولياء الدم في جريمة القتل العمد دراسة مقارنة بين التشريعين الإماراتي والأردني</w:t>
      </w:r>
      <w:r w:rsidRPr="00550CB3">
        <w:rPr>
          <w:rFonts w:ascii="Traditional Arabic" w:hAnsi="Traditional Arabic" w:cs="Traditional Arabic" w:hint="cs"/>
          <w:sz w:val="36"/>
          <w:szCs w:val="36"/>
          <w:rtl/>
          <w:lang w:bidi="ar-EG"/>
        </w:rPr>
        <w:t>، ورقة بحثية منشورة، مجلة المنارة للبح</w:t>
      </w:r>
      <w:r>
        <w:rPr>
          <w:rFonts w:ascii="Traditional Arabic" w:hAnsi="Traditional Arabic" w:cs="Traditional Arabic" w:hint="cs"/>
          <w:sz w:val="36"/>
          <w:szCs w:val="36"/>
          <w:rtl/>
          <w:lang w:bidi="ar-EG"/>
        </w:rPr>
        <w:t>وث والدراسات، المجلد 23، العدد2.</w:t>
      </w:r>
      <w:r w:rsidRPr="00550CB3">
        <w:rPr>
          <w:rFonts w:ascii="Traditional Arabic" w:hAnsi="Traditional Arabic" w:cs="Traditional Arabic" w:hint="cs"/>
          <w:sz w:val="36"/>
          <w:szCs w:val="36"/>
          <w:rtl/>
          <w:lang w:bidi="ar-EG"/>
        </w:rPr>
        <w:t xml:space="preserve"> </w:t>
      </w:r>
    </w:p>
    <w:p w14:paraId="7CE41890" w14:textId="77777777" w:rsidR="00167EA8" w:rsidRDefault="00167EA8" w:rsidP="00167EA8">
      <w:pPr>
        <w:pStyle w:val="Bibliography"/>
        <w:ind w:left="720" w:hanging="720"/>
        <w:jc w:val="both"/>
        <w:rPr>
          <w:rFonts w:ascii="Traditional Arabic" w:hAnsi="Traditional Arabic" w:cs="Traditional Arabic"/>
          <w:sz w:val="36"/>
          <w:szCs w:val="36"/>
          <w:rtl/>
          <w:lang w:bidi="ar-EG"/>
        </w:rPr>
      </w:pPr>
      <w:r w:rsidRPr="00550CB3">
        <w:rPr>
          <w:rFonts w:ascii="Traditional Arabic" w:hAnsi="Traditional Arabic" w:cs="Traditional Arabic" w:hint="cs"/>
          <w:sz w:val="36"/>
          <w:szCs w:val="36"/>
          <w:rtl/>
          <w:lang w:bidi="ar-EG"/>
        </w:rPr>
        <w:lastRenderedPageBreak/>
        <w:t>شركراك، حنان</w:t>
      </w:r>
      <w:r>
        <w:rPr>
          <w:rFonts w:ascii="Traditional Arabic" w:hAnsi="Traditional Arabic" w:cs="Traditional Arabic" w:hint="cs"/>
          <w:sz w:val="36"/>
          <w:szCs w:val="36"/>
          <w:rtl/>
          <w:lang w:bidi="ar-EG"/>
        </w:rPr>
        <w:t>.</w:t>
      </w:r>
      <w:r w:rsidRPr="00550CB3">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(2017). </w:t>
      </w:r>
      <w:r w:rsidRPr="00550CB3">
        <w:rPr>
          <w:rFonts w:ascii="Traditional Arabic" w:hAnsi="Traditional Arabic" w:cs="Traditional Arabic" w:hint="cs"/>
          <w:b/>
          <w:bCs/>
          <w:sz w:val="36"/>
          <w:szCs w:val="36"/>
          <w:rtl/>
          <w:lang w:bidi="ar-EG"/>
        </w:rPr>
        <w:t>عقوبة الإعدم بين الشريعة الإسلامية والقوانين الوضعية</w:t>
      </w:r>
      <w:r w:rsidRPr="00550CB3">
        <w:rPr>
          <w:rFonts w:ascii="Traditional Arabic" w:hAnsi="Traditional Arabic" w:cs="Traditional Arabic" w:hint="cs"/>
          <w:sz w:val="36"/>
          <w:szCs w:val="36"/>
          <w:rtl/>
          <w:lang w:bidi="ar-EG"/>
        </w:rPr>
        <w:t>، رسالة ماجستير غير منشورة، جامعة فيراس الجزائر</w:t>
      </w:r>
      <w:r>
        <w:rPr>
          <w:rFonts w:ascii="Traditional Arabic" w:hAnsi="Traditional Arabic" w:cs="Traditional Arabic" w:hint="cs"/>
          <w:sz w:val="36"/>
          <w:szCs w:val="36"/>
          <w:rtl/>
          <w:lang w:bidi="ar-EG"/>
        </w:rPr>
        <w:t xml:space="preserve">. </w:t>
      </w:r>
    </w:p>
    <w:p w14:paraId="558F422C" w14:textId="77777777" w:rsidR="00167EA8" w:rsidRDefault="00167EA8" w:rsidP="00167EA8">
      <w:pPr>
        <w:pStyle w:val="Bibliography"/>
        <w:ind w:left="720" w:hanging="720"/>
        <w:jc w:val="both"/>
        <w:rPr>
          <w:rFonts w:ascii="Traditional Arabic" w:hAnsi="Traditional Arabic" w:cs="Traditional Arabic"/>
          <w:sz w:val="36"/>
          <w:szCs w:val="36"/>
          <w:rtl/>
          <w:lang w:bidi="ar-EG"/>
        </w:rPr>
      </w:pPr>
      <w:r w:rsidRPr="005C46E0">
        <w:rPr>
          <w:rFonts w:ascii="Traditional Arabic" w:hAnsi="Traditional Arabic" w:cs="Traditional Arabic" w:hint="cs"/>
          <w:sz w:val="36"/>
          <w:szCs w:val="36"/>
          <w:rtl/>
          <w:lang w:bidi="ar-EG"/>
        </w:rPr>
        <w:t xml:space="preserve">عبد الله، آدم عبد الحميد أحمد وآخرون، </w:t>
      </w:r>
      <w:r>
        <w:rPr>
          <w:rFonts w:ascii="Traditional Arabic" w:hAnsi="Traditional Arabic" w:cs="Traditional Arabic" w:hint="cs"/>
          <w:sz w:val="36"/>
          <w:szCs w:val="36"/>
          <w:rtl/>
          <w:lang w:bidi="ar-EG"/>
        </w:rPr>
        <w:t xml:space="preserve">(2015). </w:t>
      </w:r>
      <w:r w:rsidRPr="005C46E0">
        <w:rPr>
          <w:rFonts w:ascii="Traditional Arabic" w:hAnsi="Traditional Arabic" w:cs="Traditional Arabic" w:hint="cs"/>
          <w:b/>
          <w:bCs/>
          <w:sz w:val="36"/>
          <w:szCs w:val="36"/>
          <w:rtl/>
          <w:lang w:bidi="ar-EG"/>
        </w:rPr>
        <w:t>عقوبة الإعدام في الفقة المقارن</w:t>
      </w:r>
      <w:r w:rsidRPr="005C46E0">
        <w:rPr>
          <w:rFonts w:ascii="Traditional Arabic" w:hAnsi="Traditional Arabic" w:cs="Traditional Arabic" w:hint="cs"/>
          <w:sz w:val="36"/>
          <w:szCs w:val="36"/>
          <w:rtl/>
          <w:lang w:bidi="ar-EG"/>
        </w:rPr>
        <w:t>، رسالة دكتوراة غير منشورة،</w:t>
      </w:r>
      <w:r w:rsidRPr="005C46E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جامعة الزعيم الأزهري.</w:t>
      </w:r>
    </w:p>
    <w:p w14:paraId="73EA878B" w14:textId="77777777" w:rsidR="00167EA8" w:rsidRDefault="00167EA8" w:rsidP="00167EA8">
      <w:pPr>
        <w:pStyle w:val="Bibliography"/>
        <w:ind w:left="720" w:hanging="720"/>
        <w:jc w:val="both"/>
        <w:rPr>
          <w:rFonts w:ascii="Traditional Arabic" w:hAnsi="Traditional Arabic" w:cs="Traditional Arabic"/>
          <w:sz w:val="36"/>
          <w:szCs w:val="36"/>
          <w:rtl/>
          <w:lang w:bidi="ar-EG"/>
        </w:rPr>
      </w:pPr>
      <w:r w:rsidRPr="009A60A9">
        <w:rPr>
          <w:rFonts w:ascii="Traditional Arabic" w:hAnsi="Traditional Arabic" w:cs="Traditional Arabic"/>
          <w:sz w:val="36"/>
          <w:szCs w:val="36"/>
          <w:rtl/>
          <w:lang w:bidi="ar-EG"/>
        </w:rPr>
        <w:t>عنبوسي، محمود سيرين</w:t>
      </w:r>
      <w:r w:rsidRPr="005C46E0">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(2015).</w:t>
      </w:r>
      <w:r w:rsidRPr="009A60A9">
        <w:rPr>
          <w:rFonts w:ascii="Traditional Arabic" w:hAnsi="Traditional Arabic" w:cs="Traditional Arabic"/>
          <w:b/>
          <w:bCs/>
          <w:sz w:val="36"/>
          <w:szCs w:val="36"/>
          <w:rtl/>
          <w:lang w:bidi="ar-EG"/>
        </w:rPr>
        <w:t>الإعدام بين الشريعة والقانون</w:t>
      </w:r>
      <w:r w:rsidRPr="009A60A9">
        <w:rPr>
          <w:rFonts w:ascii="Traditional Arabic" w:hAnsi="Traditional Arabic" w:cs="Traditional Arabic"/>
          <w:sz w:val="36"/>
          <w:szCs w:val="36"/>
          <w:rtl/>
          <w:lang w:bidi="ar-EG"/>
        </w:rPr>
        <w:t xml:space="preserve"> . ورقة بحثية منشورة، مؤتمر كلية الشريعة الخامس: حالات القتل في المجتمع: الأسباب والعلاج من منظور إسلامي واجتماعي وقانوني</w:t>
      </w:r>
      <w:r>
        <w:rPr>
          <w:rFonts w:ascii="Traditional Arabic" w:hAnsi="Traditional Arabic" w:cs="Traditional Arabic"/>
          <w:sz w:val="36"/>
          <w:szCs w:val="36"/>
          <w:rtl/>
          <w:lang w:bidi="ar-EG"/>
        </w:rPr>
        <w:t>، مجلة النجاح</w:t>
      </w:r>
    </w:p>
    <w:p w14:paraId="075EDF7A" w14:textId="77777777" w:rsidR="00CD2162" w:rsidRDefault="00167EA8" w:rsidP="00CD2162">
      <w:pPr>
        <w:pStyle w:val="Bibliography"/>
        <w:ind w:left="720" w:hanging="720"/>
        <w:jc w:val="both"/>
        <w:rPr>
          <w:rFonts w:ascii="Traditional Arabic" w:hAnsi="Traditional Arabic" w:cs="Traditional Arabic"/>
          <w:sz w:val="36"/>
          <w:szCs w:val="36"/>
          <w:lang w:bidi="ar-EG"/>
        </w:rPr>
      </w:pPr>
      <w:r w:rsidRPr="00550CB3">
        <w:rPr>
          <w:rFonts w:ascii="Traditional Arabic" w:hAnsi="Traditional Arabic" w:cs="Traditional Arabic" w:hint="cs"/>
          <w:sz w:val="36"/>
          <w:szCs w:val="36"/>
          <w:rtl/>
          <w:lang w:bidi="ar-EG"/>
        </w:rPr>
        <w:t>مهران، سيتي</w:t>
      </w:r>
      <w:r>
        <w:rPr>
          <w:rFonts w:ascii="Traditional Arabic" w:hAnsi="Traditional Arabic" w:cs="Traditional Arabic" w:hint="cs"/>
          <w:sz w:val="36"/>
          <w:szCs w:val="36"/>
          <w:rtl/>
          <w:lang w:bidi="ar-EG"/>
        </w:rPr>
        <w:t>.</w:t>
      </w:r>
      <w:r w:rsidRPr="00550CB3">
        <w:rPr>
          <w:rFonts w:ascii="Traditional Arabic" w:hAnsi="Traditional Arabic" w:cs="Traditional Arabic" w:hint="cs"/>
          <w:sz w:val="36"/>
          <w:szCs w:val="36"/>
          <w:rtl/>
          <w:lang w:bidi="ar-EG"/>
        </w:rPr>
        <w:t xml:space="preserve"> </w:t>
      </w:r>
      <w:r w:rsidRPr="00EE2F81">
        <w:rPr>
          <w:rFonts w:ascii="Traditional Arabic" w:hAnsi="Traditional Arabic" w:cs="Traditional Arabic"/>
          <w:sz w:val="36"/>
          <w:szCs w:val="36"/>
          <w:rtl/>
          <w:lang w:bidi="ar-EG"/>
        </w:rPr>
        <w:t>(201</w:t>
      </w:r>
      <w:r>
        <w:rPr>
          <w:rFonts w:ascii="Traditional Arabic" w:hAnsi="Traditional Arabic" w:cs="Traditional Arabic" w:hint="cs"/>
          <w:sz w:val="36"/>
          <w:szCs w:val="36"/>
          <w:rtl/>
          <w:lang w:bidi="ar-EG"/>
        </w:rPr>
        <w:t>9</w:t>
      </w:r>
      <w:r w:rsidRPr="00EE2F81">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 xml:space="preserve">. </w:t>
      </w:r>
      <w:r w:rsidRPr="00550CB3">
        <w:rPr>
          <w:rFonts w:ascii="Traditional Arabic" w:hAnsi="Traditional Arabic" w:cs="Traditional Arabic" w:hint="cs"/>
          <w:b/>
          <w:bCs/>
          <w:sz w:val="36"/>
          <w:szCs w:val="36"/>
          <w:rtl/>
          <w:lang w:bidi="ar-EG"/>
        </w:rPr>
        <w:t>عقوبة الإعدام في شريعة الإسلام</w:t>
      </w:r>
      <w:r w:rsidRPr="00550CB3">
        <w:rPr>
          <w:rFonts w:ascii="Traditional Arabic" w:hAnsi="Traditional Arabic" w:cs="Traditional Arabic" w:hint="cs"/>
          <w:sz w:val="36"/>
          <w:szCs w:val="36"/>
          <w:rtl/>
          <w:lang w:bidi="ar-EG"/>
        </w:rPr>
        <w:t>، ورقة بحثية منشورة في مجلة البوردة، أندونسيا</w:t>
      </w:r>
      <w:r>
        <w:rPr>
          <w:rFonts w:ascii="Traditional Arabic" w:hAnsi="Traditional Arabic" w:cs="Traditional Arabic" w:hint="cs"/>
          <w:sz w:val="36"/>
          <w:szCs w:val="36"/>
          <w:rtl/>
          <w:lang w:bidi="ar-EG"/>
        </w:rPr>
        <w:t>.</w:t>
      </w:r>
    </w:p>
    <w:p w14:paraId="5DB00816" w14:textId="77777777" w:rsidR="00CD2162" w:rsidRPr="00CD2162" w:rsidRDefault="00CD2162" w:rsidP="00CD2162">
      <w:pPr>
        <w:pStyle w:val="Bibliography"/>
        <w:ind w:left="720" w:hanging="720"/>
        <w:jc w:val="both"/>
        <w:rPr>
          <w:rFonts w:ascii="Traditional Arabic" w:hAnsi="Traditional Arabic" w:cs="Traditional Arabic"/>
          <w:sz w:val="36"/>
          <w:szCs w:val="36"/>
          <w:rtl/>
          <w:lang w:bidi="ar-EG"/>
        </w:rPr>
      </w:pPr>
      <w:r w:rsidRPr="00CD2162">
        <w:rPr>
          <w:rFonts w:ascii="Traditional Arabic" w:hAnsi="Traditional Arabic" w:cs="Traditional Arabic"/>
          <w:sz w:val="36"/>
          <w:szCs w:val="36"/>
          <w:rtl/>
          <w:lang w:bidi="ar-EG"/>
        </w:rPr>
        <w:t>مجد الدين محمد بن يعقوب الفيروز آبادي</w:t>
      </w:r>
      <w:r>
        <w:rPr>
          <w:rFonts w:ascii="Traditional Arabic" w:hAnsi="Traditional Arabic" w:cs="Traditional Arabic"/>
          <w:sz w:val="36"/>
          <w:szCs w:val="36"/>
          <w:lang w:bidi="ar-EG"/>
        </w:rPr>
        <w:t xml:space="preserve">) </w:t>
      </w:r>
      <w:r w:rsidRPr="00CD2162">
        <w:rPr>
          <w:rFonts w:ascii="Traditional Arabic" w:hAnsi="Traditional Arabic" w:cs="Traditional Arabic"/>
          <w:sz w:val="36"/>
          <w:szCs w:val="36"/>
          <w:rtl/>
          <w:lang w:bidi="ar-EG"/>
        </w:rPr>
        <w:t xml:space="preserve"> 1371</w:t>
      </w:r>
      <w:r>
        <w:rPr>
          <w:rFonts w:ascii="Traditional Arabic" w:hAnsi="Traditional Arabic" w:cs="Traditional Arabic"/>
          <w:sz w:val="36"/>
          <w:szCs w:val="36"/>
          <w:lang w:bidi="ar-EG"/>
        </w:rPr>
        <w:t xml:space="preserve"> (</w:t>
      </w:r>
      <w:r>
        <w:rPr>
          <w:rFonts w:ascii="Traditional Arabic" w:hAnsi="Traditional Arabic" w:cs="Traditional Arabic" w:hint="cs"/>
          <w:sz w:val="36"/>
          <w:szCs w:val="36"/>
          <w:rtl/>
          <w:lang w:bidi="ar-EG"/>
        </w:rPr>
        <w:t>.</w:t>
      </w:r>
      <w:r w:rsidRPr="00CD2162">
        <w:rPr>
          <w:rFonts w:ascii="Traditional Arabic" w:hAnsi="Traditional Arabic" w:cs="Traditional Arabic"/>
          <w:sz w:val="36"/>
          <w:szCs w:val="36"/>
          <w:rtl/>
          <w:lang w:bidi="ar-EG"/>
        </w:rPr>
        <w:t xml:space="preserve"> </w:t>
      </w:r>
      <w:r w:rsidRPr="00CD2162">
        <w:rPr>
          <w:rFonts w:ascii="Traditional Arabic" w:hAnsi="Traditional Arabic" w:cs="Traditional Arabic"/>
          <w:b/>
          <w:bCs/>
          <w:sz w:val="36"/>
          <w:szCs w:val="36"/>
          <w:rtl/>
          <w:lang w:bidi="ar-EG"/>
        </w:rPr>
        <w:t>القاموس المحـيط</w:t>
      </w:r>
      <w:r w:rsidRPr="00CD2162">
        <w:rPr>
          <w:rFonts w:ascii="Traditional Arabic" w:hAnsi="Traditional Arabic" w:cs="Traditional Arabic"/>
          <w:sz w:val="36"/>
          <w:szCs w:val="36"/>
          <w:rtl/>
          <w:lang w:bidi="ar-EG"/>
        </w:rPr>
        <w:t>، (مـصر: مطبعـة البـابي الحلـبي، ط2)، ج2، ص327؛ ابـن فـارس، أحمد بن فارس بن زكرياء القزويني الرازي، مقاييس اللغة، تحقيق عبد الـسلام هـارون، (مـصر: مطبعـة البـابي الحلـبي، ط2، 1392هـ)،ج5</w:t>
      </w:r>
    </w:p>
    <w:p w14:paraId="453319BF" w14:textId="77777777" w:rsidR="00EE2F81" w:rsidRDefault="00167EA8" w:rsidP="00167EA8">
      <w:pPr>
        <w:pStyle w:val="Bibliography"/>
        <w:ind w:left="720" w:hanging="720"/>
        <w:jc w:val="both"/>
        <w:rPr>
          <w:rFonts w:ascii="Traditional Arabic" w:hAnsi="Traditional Arabic" w:cs="Traditional Arabic"/>
          <w:sz w:val="36"/>
          <w:szCs w:val="36"/>
          <w:rtl/>
          <w:lang w:bidi="ar-EG"/>
        </w:rPr>
      </w:pPr>
      <w:r w:rsidRPr="00550CB3">
        <w:rPr>
          <w:rFonts w:ascii="Traditional Arabic" w:hAnsi="Traditional Arabic" w:cs="Traditional Arabic" w:hint="cs"/>
          <w:sz w:val="36"/>
          <w:szCs w:val="36"/>
          <w:rtl/>
          <w:lang w:bidi="ar-EG"/>
        </w:rPr>
        <w:t>هاشمي، محمد نمير</w:t>
      </w:r>
      <w:r>
        <w:rPr>
          <w:rFonts w:ascii="Traditional Arabic" w:hAnsi="Traditional Arabic" w:cs="Traditional Arabic" w:hint="cs"/>
          <w:sz w:val="36"/>
          <w:szCs w:val="36"/>
          <w:rtl/>
          <w:lang w:bidi="ar-EG"/>
        </w:rPr>
        <w:t>.</w:t>
      </w:r>
      <w:r w:rsidRPr="00EE2F81">
        <w:rPr>
          <w:rFonts w:ascii="Traditional Arabic" w:hAnsi="Traditional Arabic" w:cs="Traditional Arabic"/>
          <w:sz w:val="36"/>
          <w:szCs w:val="36"/>
          <w:rtl/>
          <w:lang w:bidi="ar-EG"/>
        </w:rPr>
        <w:t>(201</w:t>
      </w:r>
      <w:r>
        <w:rPr>
          <w:rFonts w:ascii="Traditional Arabic" w:hAnsi="Traditional Arabic" w:cs="Traditional Arabic" w:hint="cs"/>
          <w:sz w:val="36"/>
          <w:szCs w:val="36"/>
          <w:rtl/>
          <w:lang w:bidi="ar-EG"/>
        </w:rPr>
        <w:t>9</w:t>
      </w:r>
      <w:r w:rsidRPr="00EE2F81">
        <w:rPr>
          <w:rFonts w:ascii="Traditional Arabic" w:hAnsi="Traditional Arabic" w:cs="Traditional Arabic"/>
          <w:sz w:val="36"/>
          <w:szCs w:val="36"/>
          <w:rtl/>
          <w:lang w:bidi="ar-EG"/>
        </w:rPr>
        <w:t>).</w:t>
      </w:r>
      <w:r w:rsidRPr="00550CB3">
        <w:rPr>
          <w:rFonts w:ascii="Traditional Arabic" w:hAnsi="Traditional Arabic" w:cs="Traditional Arabic" w:hint="cs"/>
          <w:b/>
          <w:bCs/>
          <w:sz w:val="36"/>
          <w:szCs w:val="36"/>
          <w:rtl/>
          <w:lang w:bidi="ar-EG"/>
        </w:rPr>
        <w:t>عقوبة الإعدام في القانون الجزائري</w:t>
      </w:r>
      <w:r w:rsidRPr="00550CB3">
        <w:rPr>
          <w:rFonts w:ascii="Traditional Arabic" w:hAnsi="Traditional Arabic" w:cs="Traditional Arabic" w:hint="cs"/>
          <w:sz w:val="36"/>
          <w:szCs w:val="36"/>
          <w:rtl/>
          <w:lang w:bidi="ar-EG"/>
        </w:rPr>
        <w:t>، رسالة دكتوراة غير منشورة، جام</w:t>
      </w:r>
      <w:r>
        <w:rPr>
          <w:rFonts w:ascii="Traditional Arabic" w:hAnsi="Traditional Arabic" w:cs="Traditional Arabic" w:hint="cs"/>
          <w:sz w:val="36"/>
          <w:szCs w:val="36"/>
          <w:rtl/>
          <w:lang w:bidi="ar-EG"/>
        </w:rPr>
        <w:t>عة محمد بوضياف المسيلة، الجزائر</w:t>
      </w:r>
    </w:p>
    <w:p w14:paraId="546F817D" w14:textId="77777777" w:rsidR="00802F53" w:rsidRPr="00CD2162" w:rsidRDefault="00802F53" w:rsidP="00802F53">
      <w:pPr>
        <w:rPr>
          <w:rFonts w:ascii="Traditional Arabic" w:hAnsi="Traditional Arabic" w:cs="Traditional Arabic"/>
          <w:b/>
          <w:bCs/>
          <w:sz w:val="36"/>
          <w:szCs w:val="36"/>
          <w:rtl/>
          <w:lang w:bidi="ar-EG"/>
        </w:rPr>
      </w:pPr>
      <w:r w:rsidRPr="00CD2162">
        <w:rPr>
          <w:rFonts w:ascii="Traditional Arabic" w:hAnsi="Traditional Arabic" w:cs="Traditional Arabic"/>
          <w:b/>
          <w:bCs/>
          <w:sz w:val="36"/>
          <w:szCs w:val="36"/>
          <w:rtl/>
          <w:lang w:bidi="ar-EG"/>
        </w:rPr>
        <w:t>التقارير</w:t>
      </w:r>
    </w:p>
    <w:p w14:paraId="54C76EBA" w14:textId="77777777" w:rsidR="00802F53" w:rsidRPr="00802F53" w:rsidRDefault="00802F53" w:rsidP="00802F53">
      <w:pPr>
        <w:rPr>
          <w:rtl/>
          <w:lang w:bidi="ar-EG"/>
        </w:rPr>
      </w:pPr>
      <w:r w:rsidRPr="00CD2162">
        <w:rPr>
          <w:rFonts w:ascii="Traditional Arabic" w:hAnsi="Traditional Arabic" w:cs="Traditional Arabic"/>
          <w:sz w:val="36"/>
          <w:szCs w:val="36"/>
          <w:rtl/>
          <w:lang w:bidi="ar-EG"/>
        </w:rPr>
        <w:t>قانون العقوبات الليبي، 2012م</w:t>
      </w:r>
      <w:r w:rsidRPr="00802F53">
        <w:rPr>
          <w:rFonts w:ascii="Traditional Arabic" w:hAnsi="Traditional Arabic" w:cs="Traditional Arabic"/>
          <w:sz w:val="32"/>
          <w:szCs w:val="32"/>
          <w:rtl/>
          <w:lang w:bidi="ar-EG"/>
        </w:rPr>
        <w:t xml:space="preserve">، </w:t>
      </w:r>
      <w:r w:rsidRPr="00802F53">
        <w:rPr>
          <w:lang w:bidi="ar-EG"/>
        </w:rPr>
        <w:t>https://ssf.gov.ly/wp-content/uploads/2012</w:t>
      </w:r>
    </w:p>
    <w:sectPr w:rsidR="00802F53" w:rsidRPr="00802F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0A229" w14:textId="77777777" w:rsidR="00EF0533" w:rsidRDefault="00EF0533" w:rsidP="001545E1">
      <w:r>
        <w:separator/>
      </w:r>
    </w:p>
  </w:endnote>
  <w:endnote w:type="continuationSeparator" w:id="0">
    <w:p w14:paraId="3B0F1BAD" w14:textId="77777777" w:rsidR="00EF0533" w:rsidRDefault="00EF0533" w:rsidP="0015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Serif">
    <w:altName w:val="Times New Roman"/>
    <w:panose1 w:val="00000000000000000000"/>
    <w:charset w:val="B2"/>
    <w:family w:val="roman"/>
    <w:notTrueType/>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643287"/>
      <w:docPartObj>
        <w:docPartGallery w:val="Page Numbers (Bottom of Page)"/>
        <w:docPartUnique/>
      </w:docPartObj>
    </w:sdtPr>
    <w:sdtEndPr>
      <w:rPr>
        <w:noProof/>
      </w:rPr>
    </w:sdtEndPr>
    <w:sdtContent>
      <w:p w14:paraId="03A54538" w14:textId="77777777" w:rsidR="0020184B" w:rsidRDefault="0020184B">
        <w:pPr>
          <w:pStyle w:val="Footer"/>
          <w:jc w:val="center"/>
        </w:pPr>
        <w:r>
          <w:fldChar w:fldCharType="begin"/>
        </w:r>
        <w:r>
          <w:instrText xml:space="preserve"> PAGE   \* MERGEFORMAT </w:instrText>
        </w:r>
        <w:r>
          <w:fldChar w:fldCharType="separate"/>
        </w:r>
        <w:r w:rsidR="00694203">
          <w:rPr>
            <w:noProof/>
          </w:rPr>
          <w:t>30</w:t>
        </w:r>
        <w:r>
          <w:rPr>
            <w:noProof/>
          </w:rPr>
          <w:fldChar w:fldCharType="end"/>
        </w:r>
      </w:p>
    </w:sdtContent>
  </w:sdt>
  <w:p w14:paraId="765D1BA1" w14:textId="77777777" w:rsidR="0020184B" w:rsidRDefault="0020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30473" w14:textId="77777777" w:rsidR="00EF0533" w:rsidRDefault="00EF0533" w:rsidP="001545E1">
      <w:r>
        <w:separator/>
      </w:r>
    </w:p>
  </w:footnote>
  <w:footnote w:type="continuationSeparator" w:id="0">
    <w:p w14:paraId="59CB2A26" w14:textId="77777777" w:rsidR="00EF0533" w:rsidRDefault="00EF0533" w:rsidP="001545E1">
      <w:r>
        <w:continuationSeparator/>
      </w:r>
    </w:p>
  </w:footnote>
  <w:footnote w:id="1">
    <w:p w14:paraId="4B7D16D0" w14:textId="77777777" w:rsidR="00EF4C27" w:rsidRDefault="00EF4C27" w:rsidP="00D0172C">
      <w:pPr>
        <w:pStyle w:val="FootnoteText"/>
        <w:jc w:val="both"/>
      </w:pPr>
      <w:r>
        <w:rPr>
          <w:rStyle w:val="FootnoteReference"/>
        </w:rPr>
        <w:footnoteRef/>
      </w:r>
      <w:r>
        <w:rPr>
          <w:rtl/>
        </w:rPr>
        <w:t xml:space="preserve"> </w:t>
      </w:r>
      <w:r w:rsidRPr="00EE5192">
        <w:rPr>
          <w:rFonts w:ascii="Traditional Arabic" w:hAnsi="Traditional Arabic" w:cs="Traditional Arabic"/>
          <w:sz w:val="28"/>
          <w:szCs w:val="28"/>
          <w:rtl/>
        </w:rPr>
        <w:t xml:space="preserve">سيده، على بن اسماعيل، </w:t>
      </w:r>
      <w:r w:rsidRPr="00EE5192">
        <w:rPr>
          <w:rFonts w:ascii="Traditional Arabic" w:hAnsi="Traditional Arabic" w:cs="Traditional Arabic"/>
          <w:b/>
          <w:bCs/>
          <w:sz w:val="28"/>
          <w:szCs w:val="28"/>
          <w:rtl/>
        </w:rPr>
        <w:t>المحكم والمحيط الأعظم</w:t>
      </w:r>
      <w:r w:rsidRPr="00EE5192">
        <w:rPr>
          <w:rFonts w:ascii="Traditional Arabic" w:hAnsi="Traditional Arabic" w:cs="Traditional Arabic"/>
          <w:sz w:val="28"/>
          <w:szCs w:val="28"/>
          <w:rtl/>
        </w:rPr>
        <w:t>، ت/45، تحقيق د. مصطفى السقا ود. حسين نصار. مطبعة مصطفى البابي الحلبي. القاهرة 1377ﻫ</w:t>
      </w:r>
      <w:r w:rsidRPr="00EE5192">
        <w:rPr>
          <w:rFonts w:ascii="Traditional Arabic" w:hAnsi="Traditional Arabic" w:cs="Traditional Arabic"/>
          <w:sz w:val="28"/>
          <w:szCs w:val="28"/>
          <w:rtl/>
          <w:lang w:bidi="ar-EG"/>
        </w:rPr>
        <w:t>، ص325.</w:t>
      </w:r>
    </w:p>
  </w:footnote>
  <w:footnote w:id="2">
    <w:p w14:paraId="18E11649" w14:textId="77777777" w:rsidR="00EF4C27" w:rsidRDefault="00EF4C27" w:rsidP="00D0172C">
      <w:pPr>
        <w:pStyle w:val="FootnoteText"/>
        <w:jc w:val="both"/>
      </w:pPr>
      <w:r>
        <w:rPr>
          <w:rStyle w:val="FootnoteReference"/>
        </w:rPr>
        <w:footnoteRef/>
      </w:r>
      <w:r>
        <w:rPr>
          <w:rtl/>
        </w:rPr>
        <w:t xml:space="preserve"> </w:t>
      </w:r>
      <w:r w:rsidRPr="0037273A">
        <w:rPr>
          <w:rFonts w:ascii="Traditional Arabic" w:hAnsi="Traditional Arabic" w:cs="Traditional Arabic"/>
          <w:sz w:val="28"/>
          <w:szCs w:val="28"/>
          <w:rtl/>
        </w:rPr>
        <w:t>االزمخشري، جار الله أبي القاسم محمود بن عمر</w:t>
      </w:r>
      <w:r w:rsidRPr="0037273A">
        <w:rPr>
          <w:rFonts w:ascii="Traditional Arabic" w:hAnsi="Traditional Arabic" w:cs="Traditional Arabic"/>
          <w:sz w:val="28"/>
          <w:szCs w:val="28"/>
          <w:rtl/>
          <w:lang w:bidi="ar-EG"/>
        </w:rPr>
        <w:t xml:space="preserve">، </w:t>
      </w:r>
      <w:r w:rsidRPr="0037273A">
        <w:rPr>
          <w:rFonts w:ascii="Traditional Arabic" w:hAnsi="Traditional Arabic" w:cs="Traditional Arabic"/>
          <w:b/>
          <w:bCs/>
          <w:sz w:val="28"/>
          <w:szCs w:val="28"/>
          <w:rtl/>
          <w:lang w:bidi="ar-EG"/>
        </w:rPr>
        <w:t>أساس البلاغة</w:t>
      </w:r>
      <w:r w:rsidRPr="0037273A">
        <w:rPr>
          <w:rFonts w:ascii="Traditional Arabic" w:hAnsi="Traditional Arabic" w:cs="Traditional Arabic"/>
          <w:sz w:val="28"/>
          <w:szCs w:val="28"/>
          <w:rtl/>
          <w:lang w:bidi="ar-EG"/>
        </w:rPr>
        <w:t xml:space="preserve">، </w:t>
      </w:r>
      <w:r w:rsidRPr="0037273A">
        <w:rPr>
          <w:rFonts w:ascii="Traditional Arabic" w:hAnsi="Traditional Arabic" w:cs="Traditional Arabic"/>
          <w:sz w:val="28"/>
          <w:szCs w:val="28"/>
          <w:rtl/>
        </w:rPr>
        <w:t>(ت538) تحقيق الأستاذ عبدالرحيم محمود, دار المعرفة. بيروت، 1987م،</w:t>
      </w:r>
      <w:r>
        <w:rPr>
          <w:rFonts w:ascii="Traditional Arabic" w:hAnsi="Traditional Arabic" w:cs="Traditional Arabic" w:hint="cs"/>
          <w:sz w:val="28"/>
          <w:szCs w:val="28"/>
          <w:rtl/>
        </w:rPr>
        <w:t xml:space="preserve"> ص22</w:t>
      </w:r>
    </w:p>
  </w:footnote>
  <w:footnote w:id="3">
    <w:p w14:paraId="0E20B781" w14:textId="77777777" w:rsidR="00EF4C27" w:rsidRDefault="00EF4C27" w:rsidP="00D0172C">
      <w:pPr>
        <w:pStyle w:val="FootnoteText"/>
        <w:jc w:val="both"/>
      </w:pPr>
      <w:r>
        <w:rPr>
          <w:rStyle w:val="FootnoteReference"/>
        </w:rPr>
        <w:footnoteRef/>
      </w:r>
      <w:r>
        <w:rPr>
          <w:rtl/>
        </w:rPr>
        <w:t xml:space="preserve"> </w:t>
      </w:r>
      <w:r w:rsidRPr="00EE5192">
        <w:rPr>
          <w:rFonts w:ascii="Traditional Arabic" w:hAnsi="Traditional Arabic" w:cs="Traditional Arabic"/>
          <w:sz w:val="28"/>
          <w:szCs w:val="28"/>
          <w:rtl/>
        </w:rPr>
        <w:t xml:space="preserve">سيده، على بن اسماعيل، </w:t>
      </w:r>
      <w:r w:rsidRPr="00EE5192">
        <w:rPr>
          <w:rFonts w:ascii="Traditional Arabic" w:hAnsi="Traditional Arabic" w:cs="Traditional Arabic"/>
          <w:b/>
          <w:bCs/>
          <w:sz w:val="28"/>
          <w:szCs w:val="28"/>
          <w:rtl/>
        </w:rPr>
        <w:t>المحكم والمحيط الأعظم</w:t>
      </w:r>
      <w:r w:rsidRPr="00EE5192">
        <w:rPr>
          <w:rFonts w:ascii="Traditional Arabic" w:hAnsi="Traditional Arabic" w:cs="Traditional Arabic"/>
          <w:sz w:val="28"/>
          <w:szCs w:val="28"/>
          <w:rtl/>
        </w:rPr>
        <w:t>، ت/45، تحقيق د. مصطفى السقا ود. حسين نصار. مطبعة مصطفى البابي الحلبي. القاهرة 1377ﻫ</w:t>
      </w:r>
      <w:r w:rsidRPr="00EE5192">
        <w:rPr>
          <w:rFonts w:ascii="Traditional Arabic" w:hAnsi="Traditional Arabic" w:cs="Traditional Arabic"/>
          <w:sz w:val="28"/>
          <w:szCs w:val="28"/>
          <w:rtl/>
          <w:lang w:bidi="ar-EG"/>
        </w:rPr>
        <w:t>، ص3</w:t>
      </w:r>
      <w:r>
        <w:rPr>
          <w:rFonts w:ascii="Traditional Arabic" w:hAnsi="Traditional Arabic" w:cs="Traditional Arabic" w:hint="cs"/>
          <w:sz w:val="28"/>
          <w:szCs w:val="28"/>
          <w:rtl/>
          <w:lang w:bidi="ar-EG"/>
        </w:rPr>
        <w:t>10</w:t>
      </w:r>
    </w:p>
  </w:footnote>
  <w:footnote w:id="4">
    <w:p w14:paraId="182C8032" w14:textId="77777777" w:rsidR="00EF4C27" w:rsidRPr="0037273A" w:rsidRDefault="00EF4C27" w:rsidP="00EF4C27">
      <w:pPr>
        <w:pStyle w:val="FootnoteText"/>
        <w:jc w:val="both"/>
        <w:rPr>
          <w:rFonts w:ascii="Traditional Arabic" w:hAnsi="Traditional Arabic" w:cs="Traditional Arabic"/>
          <w:sz w:val="28"/>
          <w:szCs w:val="28"/>
          <w:lang w:bidi="ar-EG"/>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االزمخشري، جار الله أبي القاسم محمود بن عمر</w:t>
      </w:r>
      <w:r w:rsidRPr="0037273A">
        <w:rPr>
          <w:rFonts w:ascii="Traditional Arabic" w:hAnsi="Traditional Arabic" w:cs="Traditional Arabic"/>
          <w:sz w:val="28"/>
          <w:szCs w:val="28"/>
          <w:rtl/>
          <w:lang w:bidi="ar-EG"/>
        </w:rPr>
        <w:t xml:space="preserve">، </w:t>
      </w:r>
      <w:r w:rsidRPr="0037273A">
        <w:rPr>
          <w:rFonts w:ascii="Traditional Arabic" w:hAnsi="Traditional Arabic" w:cs="Traditional Arabic"/>
          <w:b/>
          <w:bCs/>
          <w:sz w:val="28"/>
          <w:szCs w:val="28"/>
          <w:rtl/>
          <w:lang w:bidi="ar-EG"/>
        </w:rPr>
        <w:t>أساس البلاغة</w:t>
      </w:r>
      <w:r w:rsidRPr="0037273A">
        <w:rPr>
          <w:rFonts w:ascii="Traditional Arabic" w:hAnsi="Traditional Arabic" w:cs="Traditional Arabic"/>
          <w:sz w:val="28"/>
          <w:szCs w:val="28"/>
          <w:rtl/>
          <w:lang w:bidi="ar-EG"/>
        </w:rPr>
        <w:t xml:space="preserve">، </w:t>
      </w:r>
      <w:r w:rsidRPr="0037273A">
        <w:rPr>
          <w:rFonts w:ascii="Traditional Arabic" w:hAnsi="Traditional Arabic" w:cs="Traditional Arabic"/>
          <w:sz w:val="28"/>
          <w:szCs w:val="28"/>
          <w:rtl/>
        </w:rPr>
        <w:t>(ت538) تحقيق الأستاذ عبدالرحيم محمود, دار المعرفة. بيروت، 1987م،</w:t>
      </w:r>
      <w:r w:rsidRPr="0037273A">
        <w:rPr>
          <w:rFonts w:ascii="Traditional Arabic" w:hAnsi="Traditional Arabic" w:cs="Traditional Arabic"/>
          <w:sz w:val="28"/>
          <w:szCs w:val="28"/>
          <w:rtl/>
          <w:lang w:bidi="ar-EG"/>
        </w:rPr>
        <w:t xml:space="preserve"> ص51.</w:t>
      </w:r>
    </w:p>
  </w:footnote>
  <w:footnote w:id="5">
    <w:p w14:paraId="7E3EB7B5" w14:textId="77777777" w:rsidR="00EF4C27" w:rsidRDefault="00EF4C27" w:rsidP="00EF4C27">
      <w:pPr>
        <w:pStyle w:val="FootnoteText"/>
      </w:pPr>
      <w:r>
        <w:rPr>
          <w:rStyle w:val="FootnoteReference"/>
        </w:rPr>
        <w:footnoteRef/>
      </w:r>
      <w:r>
        <w:rPr>
          <w:rtl/>
        </w:rPr>
        <w:t xml:space="preserve"> </w:t>
      </w:r>
      <w:r w:rsidRPr="00EE5192">
        <w:rPr>
          <w:rFonts w:ascii="Traditional Arabic" w:hAnsi="Traditional Arabic" w:cs="Traditional Arabic"/>
          <w:sz w:val="28"/>
          <w:szCs w:val="28"/>
          <w:rtl/>
        </w:rPr>
        <w:t xml:space="preserve">الزبيدي، السيد محمد مرتضي، </w:t>
      </w:r>
      <w:r w:rsidRPr="00EE5192">
        <w:rPr>
          <w:rFonts w:ascii="Traditional Arabic" w:hAnsi="Traditional Arabic" w:cs="Traditional Arabic"/>
          <w:b/>
          <w:bCs/>
          <w:sz w:val="28"/>
          <w:szCs w:val="28"/>
          <w:rtl/>
        </w:rPr>
        <w:t>تاج العروس من جواهر القاموس</w:t>
      </w:r>
      <w:r w:rsidRPr="00EE5192">
        <w:rPr>
          <w:rFonts w:ascii="Traditional Arabic" w:hAnsi="Traditional Arabic" w:cs="Traditional Arabic"/>
          <w:sz w:val="28"/>
          <w:szCs w:val="28"/>
          <w:rtl/>
        </w:rPr>
        <w:t>، حققه مجموعة من العلماء بإشراف وزارة الإعلام. دولة الكويت، 2001</w:t>
      </w:r>
      <w:r w:rsidRPr="00EE5192">
        <w:rPr>
          <w:rFonts w:ascii="Traditional Arabic" w:hAnsi="Traditional Arabic" w:cs="Traditional Arabic"/>
          <w:sz w:val="28"/>
          <w:szCs w:val="28"/>
          <w:rtl/>
          <w:lang w:bidi="ar-EG"/>
        </w:rPr>
        <w:t>م، ص321</w:t>
      </w:r>
    </w:p>
  </w:footnote>
  <w:footnote w:id="6">
    <w:p w14:paraId="471A87C6" w14:textId="77777777" w:rsidR="00EF4C27" w:rsidRPr="0037273A" w:rsidRDefault="00EF4C27" w:rsidP="00EF4C27">
      <w:pPr>
        <w:pStyle w:val="FootnoteText"/>
        <w:jc w:val="both"/>
        <w:rPr>
          <w:rFonts w:ascii="Traditional Arabic" w:hAnsi="Traditional Arabic" w:cs="Traditional Arabic"/>
          <w:sz w:val="28"/>
          <w:szCs w:val="28"/>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شركراك، حنان</w:t>
      </w:r>
      <w:r w:rsidRPr="0037273A">
        <w:rPr>
          <w:rFonts w:ascii="Traditional Arabic" w:hAnsi="Traditional Arabic" w:cs="Traditional Arabic"/>
          <w:sz w:val="28"/>
          <w:szCs w:val="28"/>
          <w:rtl/>
          <w:lang w:bidi="ar-EG"/>
        </w:rPr>
        <w:t xml:space="preserve">، </w:t>
      </w:r>
      <w:r w:rsidRPr="0037273A">
        <w:rPr>
          <w:rFonts w:ascii="Traditional Arabic" w:hAnsi="Traditional Arabic" w:cs="Traditional Arabic"/>
          <w:b/>
          <w:bCs/>
          <w:sz w:val="28"/>
          <w:szCs w:val="28"/>
          <w:rtl/>
        </w:rPr>
        <w:t>عقوبة الإعدم بين الشريعة الإسلامية والقوانين الوضعية</w:t>
      </w:r>
      <w:r w:rsidRPr="0037273A">
        <w:rPr>
          <w:rFonts w:ascii="Traditional Arabic" w:hAnsi="Traditional Arabic" w:cs="Traditional Arabic"/>
          <w:sz w:val="28"/>
          <w:szCs w:val="28"/>
          <w:rtl/>
        </w:rPr>
        <w:t xml:space="preserve">، رسالة ماجستير غير منشورة، جامعة فيراس الجزائر، </w:t>
      </w:r>
      <w:r w:rsidR="001D3493">
        <w:rPr>
          <w:rFonts w:ascii="Traditional Arabic" w:hAnsi="Traditional Arabic" w:cs="Traditional Arabic" w:hint="cs"/>
          <w:sz w:val="28"/>
          <w:szCs w:val="28"/>
          <w:rtl/>
        </w:rPr>
        <w:t xml:space="preserve">2017م، </w:t>
      </w:r>
      <w:r w:rsidRPr="0037273A">
        <w:rPr>
          <w:rFonts w:ascii="Traditional Arabic" w:hAnsi="Traditional Arabic" w:cs="Traditional Arabic"/>
          <w:sz w:val="28"/>
          <w:szCs w:val="28"/>
          <w:rtl/>
        </w:rPr>
        <w:t>ص210</w:t>
      </w:r>
    </w:p>
  </w:footnote>
  <w:footnote w:id="7">
    <w:p w14:paraId="5FD79BDB" w14:textId="77777777" w:rsidR="00EF4C27" w:rsidRPr="009405F9" w:rsidRDefault="00EF4C27" w:rsidP="00EF4C27">
      <w:pPr>
        <w:pStyle w:val="FootnoteText"/>
        <w:rPr>
          <w:rFonts w:ascii="Traditional Arabic" w:hAnsi="Traditional Arabic" w:cs="Traditional Arabic"/>
          <w:sz w:val="28"/>
          <w:szCs w:val="28"/>
          <w:lang w:bidi="ar-EG"/>
        </w:rPr>
      </w:pPr>
      <w:r w:rsidRPr="009405F9">
        <w:rPr>
          <w:rStyle w:val="FootnoteReference"/>
          <w:rFonts w:ascii="Traditional Arabic" w:hAnsi="Traditional Arabic" w:cs="Traditional Arabic"/>
          <w:sz w:val="28"/>
          <w:szCs w:val="28"/>
        </w:rPr>
        <w:footnoteRef/>
      </w:r>
      <w:r w:rsidRPr="009405F9">
        <w:rPr>
          <w:rFonts w:ascii="Traditional Arabic" w:hAnsi="Traditional Arabic" w:cs="Traditional Arabic"/>
          <w:sz w:val="28"/>
          <w:szCs w:val="28"/>
          <w:rtl/>
        </w:rPr>
        <w:t xml:space="preserve"> </w:t>
      </w:r>
      <w:r w:rsidRPr="009405F9">
        <w:rPr>
          <w:rFonts w:ascii="Traditional Arabic" w:hAnsi="Traditional Arabic" w:cs="Traditional Arabic"/>
          <w:sz w:val="28"/>
          <w:szCs w:val="28"/>
          <w:rtl/>
          <w:lang w:bidi="ar-EG"/>
        </w:rPr>
        <w:t>سورة الحديد، آية رقم 25.</w:t>
      </w:r>
    </w:p>
  </w:footnote>
  <w:footnote w:id="8">
    <w:p w14:paraId="6D831418" w14:textId="77777777" w:rsidR="00EF4C27" w:rsidRPr="0037273A" w:rsidRDefault="00EF4C27" w:rsidP="00EF4C27">
      <w:pPr>
        <w:pStyle w:val="FootnoteText"/>
        <w:rPr>
          <w:rFonts w:ascii="Traditional Arabic" w:hAnsi="Traditional Arabic" w:cs="Traditional Arabic"/>
          <w:sz w:val="28"/>
          <w:szCs w:val="28"/>
          <w:lang w:bidi="ar-EG"/>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w:t>
      </w:r>
      <w:r w:rsidRPr="0037273A">
        <w:rPr>
          <w:rFonts w:ascii="Traditional Arabic" w:hAnsi="Traditional Arabic" w:cs="Traditional Arabic"/>
          <w:sz w:val="28"/>
          <w:szCs w:val="28"/>
          <w:rtl/>
          <w:lang w:bidi="ar-EG"/>
        </w:rPr>
        <w:t>سورة النحل، آية رقم 126</w:t>
      </w:r>
    </w:p>
  </w:footnote>
  <w:footnote w:id="9">
    <w:p w14:paraId="58A6E05E" w14:textId="77777777" w:rsidR="00EF4C27" w:rsidRPr="0037273A" w:rsidRDefault="00EF4C27" w:rsidP="00EF4C27">
      <w:pPr>
        <w:pStyle w:val="FootnoteText"/>
        <w:jc w:val="both"/>
        <w:rPr>
          <w:rFonts w:ascii="Traditional Arabic" w:hAnsi="Traditional Arabic" w:cs="Traditional Arabic"/>
          <w:sz w:val="28"/>
          <w:szCs w:val="28"/>
          <w:rtl/>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بخير، سديد، </w:t>
      </w:r>
      <w:r w:rsidRPr="0037273A">
        <w:rPr>
          <w:rFonts w:ascii="Traditional Arabic" w:hAnsi="Traditional Arabic" w:cs="Traditional Arabic"/>
          <w:b/>
          <w:bCs/>
          <w:sz w:val="28"/>
          <w:szCs w:val="28"/>
          <w:rtl/>
        </w:rPr>
        <w:t>الحماية الحنائية لحرمة الأنبياء دراسة مقارنة بين الشريعة والقانون في ضوء حرية الرأي والتعبير</w:t>
      </w:r>
      <w:r w:rsidRPr="0037273A">
        <w:rPr>
          <w:rFonts w:ascii="Traditional Arabic" w:hAnsi="Traditional Arabic" w:cs="Traditional Arabic"/>
          <w:sz w:val="28"/>
          <w:szCs w:val="28"/>
          <w:rtl/>
        </w:rPr>
        <w:t>، رسالة دكتوراة منشورة، جامعة الحاج الأخضر باتنة، الجزائر، 2020م، ص70</w:t>
      </w:r>
    </w:p>
  </w:footnote>
  <w:footnote w:id="10">
    <w:p w14:paraId="14FA5589" w14:textId="77777777" w:rsidR="00EF4C27" w:rsidRPr="0037273A" w:rsidRDefault="00EF4C27" w:rsidP="00EF4C27">
      <w:pPr>
        <w:pStyle w:val="FootnoteText"/>
        <w:rPr>
          <w:rFonts w:ascii="Traditional Arabic" w:hAnsi="Traditional Arabic" w:cs="Traditional Arabic"/>
          <w:sz w:val="28"/>
          <w:szCs w:val="28"/>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سورة البقرة، آية رقم 30</w:t>
      </w:r>
    </w:p>
  </w:footnote>
  <w:footnote w:id="11">
    <w:p w14:paraId="62B02503" w14:textId="77777777" w:rsidR="00EF4C27" w:rsidRPr="0037273A" w:rsidRDefault="00EF4C27" w:rsidP="00D0172C">
      <w:pPr>
        <w:pStyle w:val="FootnoteText"/>
        <w:jc w:val="both"/>
        <w:rPr>
          <w:rFonts w:ascii="Traditional Arabic" w:hAnsi="Traditional Arabic" w:cs="Traditional Arabic"/>
          <w:sz w:val="28"/>
          <w:szCs w:val="28"/>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سورة المائدة، آية رقم 32</w:t>
      </w:r>
    </w:p>
  </w:footnote>
  <w:footnote w:id="12">
    <w:p w14:paraId="1A88BF6E" w14:textId="77777777" w:rsidR="00EF4C27" w:rsidRPr="0037273A" w:rsidRDefault="00EF4C27" w:rsidP="00D0172C">
      <w:pPr>
        <w:pStyle w:val="FootnoteText"/>
        <w:jc w:val="both"/>
        <w:rPr>
          <w:rFonts w:ascii="Traditional Arabic" w:hAnsi="Traditional Arabic" w:cs="Traditional Arabic"/>
          <w:sz w:val="28"/>
          <w:szCs w:val="28"/>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مهران، سيتي</w:t>
      </w:r>
      <w:r w:rsidRPr="0037273A">
        <w:rPr>
          <w:rFonts w:ascii="Traditional Arabic" w:hAnsi="Traditional Arabic" w:cs="Traditional Arabic"/>
          <w:sz w:val="28"/>
          <w:szCs w:val="28"/>
          <w:rtl/>
          <w:lang w:bidi="ar-EG"/>
        </w:rPr>
        <w:t xml:space="preserve">، </w:t>
      </w:r>
      <w:r w:rsidRPr="0037273A">
        <w:rPr>
          <w:rFonts w:ascii="Traditional Arabic" w:hAnsi="Traditional Arabic" w:cs="Traditional Arabic"/>
          <w:b/>
          <w:bCs/>
          <w:sz w:val="28"/>
          <w:szCs w:val="28"/>
          <w:rtl/>
        </w:rPr>
        <w:t>عقوبة الإعدام في شريعة الإسلام</w:t>
      </w:r>
      <w:r w:rsidRPr="0037273A">
        <w:rPr>
          <w:rFonts w:ascii="Traditional Arabic" w:hAnsi="Traditional Arabic" w:cs="Traditional Arabic"/>
          <w:sz w:val="28"/>
          <w:szCs w:val="28"/>
          <w:rtl/>
        </w:rPr>
        <w:t>، ورقة بحثية منشورة في مجلة البوردة، أندونسيا، 2019م، ص31</w:t>
      </w:r>
    </w:p>
  </w:footnote>
  <w:footnote w:id="13">
    <w:p w14:paraId="0B24A28D" w14:textId="6D0067FE" w:rsidR="00EF4C27" w:rsidRDefault="00EF4C27" w:rsidP="00D0172C">
      <w:pPr>
        <w:pStyle w:val="FootnoteText"/>
        <w:jc w:val="both"/>
        <w:rPr>
          <w:rtl/>
          <w:lang w:bidi="ar-EG"/>
        </w:rPr>
      </w:pPr>
      <w:r w:rsidRPr="009405F9">
        <w:rPr>
          <w:rStyle w:val="FootnoteReference"/>
          <w:rFonts w:ascii="Traditional Arabic" w:hAnsi="Traditional Arabic" w:cs="Traditional Arabic"/>
          <w:sz w:val="28"/>
          <w:szCs w:val="28"/>
        </w:rPr>
        <w:footnoteRef/>
      </w:r>
      <w:r w:rsidRPr="009405F9">
        <w:rPr>
          <w:rFonts w:ascii="Traditional Arabic" w:hAnsi="Traditional Arabic" w:cs="Traditional Arabic"/>
          <w:sz w:val="28"/>
          <w:szCs w:val="28"/>
          <w:rtl/>
        </w:rPr>
        <w:t xml:space="preserve"> حديث صحيح. </w:t>
      </w:r>
      <w:r w:rsidR="00F763B8">
        <w:rPr>
          <w:rFonts w:ascii="Traditional Arabic" w:hAnsi="Traditional Arabic" w:cs="Traditional Arabic" w:hint="cs"/>
          <w:sz w:val="28"/>
          <w:szCs w:val="28"/>
          <w:rtl/>
        </w:rPr>
        <w:t xml:space="preserve">رقم 3210، </w:t>
      </w:r>
      <w:r w:rsidRPr="009405F9">
        <w:rPr>
          <w:rFonts w:ascii="Traditional Arabic" w:hAnsi="Traditional Arabic" w:cs="Traditional Arabic"/>
          <w:sz w:val="28"/>
          <w:szCs w:val="28"/>
          <w:rtl/>
          <w:lang w:bidi="ar-EG"/>
        </w:rPr>
        <w:t xml:space="preserve">العسقلاني، أحمد بن على بن حجر، فتح الباري، </w:t>
      </w:r>
      <w:r w:rsidRPr="003144CF">
        <w:rPr>
          <w:rFonts w:ascii="Traditional Arabic" w:hAnsi="Traditional Arabic" w:cs="Traditional Arabic"/>
          <w:b/>
          <w:bCs/>
          <w:sz w:val="28"/>
          <w:szCs w:val="28"/>
          <w:rtl/>
          <w:lang w:bidi="ar-EG"/>
        </w:rPr>
        <w:t>شرح الجامع الصحيح للبخاري من رواية أبي ذر الهروي عن مشايخه الثلاثة الكمشيني والمستملي والسرخسي</w:t>
      </w:r>
      <w:r w:rsidRPr="009405F9">
        <w:rPr>
          <w:rFonts w:ascii="Traditional Arabic" w:hAnsi="Traditional Arabic" w:cs="Traditional Arabic"/>
          <w:sz w:val="28"/>
          <w:szCs w:val="28"/>
          <w:rtl/>
          <w:lang w:bidi="ar-EG"/>
        </w:rPr>
        <w:t>، تقديم وتحقيق عبد القادر شيبة الحمد، الجزء الأول</w:t>
      </w:r>
      <w:r>
        <w:rPr>
          <w:rFonts w:ascii="Traditional Arabic" w:hAnsi="Traditional Arabic" w:cs="Traditional Arabic" w:hint="cs"/>
          <w:sz w:val="28"/>
          <w:szCs w:val="28"/>
          <w:rtl/>
          <w:lang w:bidi="ar-EG"/>
        </w:rPr>
        <w:t xml:space="preserve">، ص120. </w:t>
      </w:r>
    </w:p>
  </w:footnote>
  <w:footnote w:id="14">
    <w:p w14:paraId="177CA88F" w14:textId="77777777" w:rsidR="00EF4C27" w:rsidRPr="00D87444" w:rsidRDefault="00EF4C27" w:rsidP="00D0172C">
      <w:pPr>
        <w:pStyle w:val="FootnoteText"/>
        <w:jc w:val="both"/>
        <w:rPr>
          <w:rFonts w:ascii="Traditional Arabic" w:hAnsi="Traditional Arabic" w:cs="Traditional Arabic"/>
          <w:sz w:val="28"/>
          <w:szCs w:val="28"/>
        </w:rPr>
      </w:pPr>
      <w:r w:rsidRPr="00D87444">
        <w:rPr>
          <w:rStyle w:val="FootnoteReference"/>
          <w:rFonts w:ascii="Traditional Arabic" w:hAnsi="Traditional Arabic" w:cs="Traditional Arabic"/>
          <w:sz w:val="28"/>
          <w:szCs w:val="28"/>
        </w:rPr>
        <w:footnoteRef/>
      </w:r>
      <w:r w:rsidRPr="00D87444">
        <w:rPr>
          <w:rFonts w:ascii="Traditional Arabic" w:hAnsi="Traditional Arabic" w:cs="Traditional Arabic"/>
          <w:sz w:val="28"/>
          <w:szCs w:val="28"/>
          <w:rtl/>
        </w:rPr>
        <w:t xml:space="preserve"> ابن عطاء الله الإسكندري وصلاح عبد التواب سعداوي. </w:t>
      </w:r>
      <w:r w:rsidRPr="00D87444">
        <w:rPr>
          <w:rFonts w:ascii="Traditional Arabic" w:hAnsi="Traditional Arabic" w:cs="Traditional Arabic"/>
          <w:b/>
          <w:bCs/>
          <w:sz w:val="28"/>
          <w:szCs w:val="28"/>
          <w:rtl/>
        </w:rPr>
        <w:t>الحكم العطائية</w:t>
      </w:r>
      <w:r w:rsidRPr="00D87444">
        <w:rPr>
          <w:rFonts w:ascii="Traditional Arabic" w:hAnsi="Traditional Arabic" w:cs="Traditional Arabic"/>
          <w:sz w:val="28"/>
          <w:szCs w:val="28"/>
          <w:rtl/>
        </w:rPr>
        <w:t>. دار الفضيلة للنشر والتوزيع، ١٩٨٨م، ص٩٠</w:t>
      </w:r>
    </w:p>
  </w:footnote>
  <w:footnote w:id="15">
    <w:p w14:paraId="245B254E" w14:textId="77777777" w:rsidR="00EF4C27" w:rsidRPr="00D87444" w:rsidRDefault="00EF4C27" w:rsidP="00EF4C27">
      <w:pPr>
        <w:pStyle w:val="FootnoteText"/>
        <w:jc w:val="both"/>
        <w:rPr>
          <w:rFonts w:ascii="Traditional Arabic" w:hAnsi="Traditional Arabic" w:cs="Traditional Arabic"/>
          <w:sz w:val="28"/>
          <w:szCs w:val="28"/>
        </w:rPr>
      </w:pPr>
      <w:r w:rsidRPr="00D87444">
        <w:rPr>
          <w:rStyle w:val="FootnoteReference"/>
          <w:rFonts w:ascii="Traditional Arabic" w:hAnsi="Traditional Arabic" w:cs="Traditional Arabic"/>
          <w:sz w:val="28"/>
          <w:szCs w:val="28"/>
        </w:rPr>
        <w:footnoteRef/>
      </w:r>
      <w:r w:rsidRPr="00D87444">
        <w:rPr>
          <w:rFonts w:ascii="Traditional Arabic" w:hAnsi="Traditional Arabic" w:cs="Traditional Arabic"/>
          <w:sz w:val="28"/>
          <w:szCs w:val="28"/>
          <w:rtl/>
        </w:rPr>
        <w:t xml:space="preserve"> ابن عطاء الله الإسكندري وصلاح عبد التواب سعداوي. </w:t>
      </w:r>
      <w:r w:rsidRPr="00D87444">
        <w:rPr>
          <w:rFonts w:ascii="Traditional Arabic" w:hAnsi="Traditional Arabic" w:cs="Traditional Arabic"/>
          <w:b/>
          <w:bCs/>
          <w:sz w:val="28"/>
          <w:szCs w:val="28"/>
          <w:rtl/>
        </w:rPr>
        <w:t>الحكم العطائية</w:t>
      </w:r>
      <w:r w:rsidRPr="00D87444">
        <w:rPr>
          <w:rFonts w:ascii="Traditional Arabic" w:hAnsi="Traditional Arabic" w:cs="Traditional Arabic"/>
          <w:sz w:val="28"/>
          <w:szCs w:val="28"/>
          <w:rtl/>
        </w:rPr>
        <w:t>. دار الفضيلة للنشر والتوزيع.، ١٩٨٨م، ص٩٠</w:t>
      </w:r>
    </w:p>
  </w:footnote>
  <w:footnote w:id="16">
    <w:p w14:paraId="57B2F362" w14:textId="77777777" w:rsidR="00EF4C27" w:rsidRPr="001040AB" w:rsidRDefault="00EF4C27" w:rsidP="00EF4C27">
      <w:pPr>
        <w:pStyle w:val="FootnoteText"/>
        <w:jc w:val="both"/>
        <w:rPr>
          <w:rFonts w:ascii="Traditional Arabic" w:hAnsi="Traditional Arabic" w:cs="Traditional Arabic"/>
          <w:sz w:val="28"/>
          <w:szCs w:val="28"/>
        </w:rPr>
      </w:pPr>
      <w:r w:rsidRPr="001040AB">
        <w:rPr>
          <w:rStyle w:val="FootnoteReference"/>
          <w:rFonts w:ascii="Traditional Arabic" w:hAnsi="Traditional Arabic" w:cs="Traditional Arabic"/>
          <w:sz w:val="28"/>
          <w:szCs w:val="28"/>
        </w:rPr>
        <w:footnoteRef/>
      </w:r>
      <w:r w:rsidRPr="001040AB">
        <w:rPr>
          <w:rFonts w:ascii="Traditional Arabic" w:hAnsi="Traditional Arabic" w:cs="Traditional Arabic"/>
          <w:sz w:val="28"/>
          <w:szCs w:val="28"/>
          <w:rtl/>
        </w:rPr>
        <w:t xml:space="preserve"> أزهري، محمد. </w:t>
      </w:r>
      <w:r w:rsidRPr="001040AB">
        <w:rPr>
          <w:rFonts w:ascii="Traditional Arabic" w:hAnsi="Traditional Arabic" w:cs="Traditional Arabic"/>
          <w:b/>
          <w:bCs/>
          <w:sz w:val="28"/>
          <w:szCs w:val="28"/>
          <w:rtl/>
        </w:rPr>
        <w:t>تحليل المسائل التي يفتي عليها فقهاء الشافعية بالقول القديم</w:t>
      </w:r>
      <w:r w:rsidRPr="001040AB">
        <w:rPr>
          <w:rFonts w:ascii="Traditional Arabic" w:hAnsi="Traditional Arabic" w:cs="Traditional Arabic"/>
          <w:sz w:val="28"/>
          <w:szCs w:val="28"/>
          <w:rtl/>
        </w:rPr>
        <w:t>، رسالة دكتوراة، جامعة مولانا مالك ابراهيم، ٢٠١٩م، ص</w:t>
      </w:r>
      <w:r w:rsidRPr="001040AB">
        <w:rPr>
          <w:rFonts w:ascii="Traditional Arabic" w:hAnsi="Traditional Arabic" w:cs="Traditional Arabic"/>
          <w:sz w:val="28"/>
          <w:szCs w:val="28"/>
        </w:rPr>
        <w:t>45</w:t>
      </w:r>
    </w:p>
  </w:footnote>
  <w:footnote w:id="17">
    <w:p w14:paraId="072FCC79" w14:textId="77777777" w:rsidR="00EF4C27" w:rsidRPr="0037273A" w:rsidRDefault="00EF4C27" w:rsidP="00EF4C27">
      <w:pPr>
        <w:pStyle w:val="FootnoteText"/>
        <w:jc w:val="both"/>
        <w:rPr>
          <w:rFonts w:ascii="Traditional Arabic" w:hAnsi="Traditional Arabic" w:cs="Traditional Arabic"/>
          <w:sz w:val="28"/>
          <w:szCs w:val="28"/>
          <w:rtl/>
          <w:lang w:bidi="ar-EG"/>
        </w:rPr>
      </w:pPr>
      <w:r w:rsidRPr="0037273A">
        <w:rPr>
          <w:rStyle w:val="FootnoteReference"/>
          <w:rFonts w:ascii="Traditional Arabic" w:hAnsi="Traditional Arabic" w:cs="Traditional Arabic"/>
          <w:sz w:val="28"/>
          <w:szCs w:val="28"/>
        </w:rPr>
        <w:footnoteRef/>
      </w:r>
      <w:r w:rsidRPr="0037273A">
        <w:rPr>
          <w:rFonts w:ascii="Traditional Arabic" w:hAnsi="Traditional Arabic" w:cs="Traditional Arabic"/>
          <w:sz w:val="28"/>
          <w:szCs w:val="28"/>
          <w:rtl/>
        </w:rPr>
        <w:t xml:space="preserve"> البدارين، أيمن عبد الحميد عبد المجيد، </w:t>
      </w:r>
      <w:r w:rsidRPr="0037273A">
        <w:rPr>
          <w:rFonts w:ascii="Traditional Arabic" w:hAnsi="Traditional Arabic" w:cs="Traditional Arabic"/>
          <w:b/>
          <w:bCs/>
          <w:sz w:val="28"/>
          <w:szCs w:val="28"/>
          <w:rtl/>
        </w:rPr>
        <w:t>شروط القاتل في عقوبة القصاص (الإعدام) دراسة فقهية قانونية مقارنة</w:t>
      </w:r>
      <w:r w:rsidRPr="0037273A">
        <w:rPr>
          <w:rFonts w:ascii="Traditional Arabic" w:hAnsi="Traditional Arabic" w:cs="Traditional Arabic"/>
          <w:sz w:val="28"/>
          <w:szCs w:val="28"/>
          <w:rtl/>
        </w:rPr>
        <w:t>، ورقة بحثية منشورة، مجلة جامعة مؤته للعلوم الإنسانية والإجتماعية، الأردن، 2020م</w:t>
      </w:r>
      <w:r>
        <w:rPr>
          <w:rFonts w:ascii="Traditional Arabic" w:hAnsi="Traditional Arabic" w:cs="Traditional Arabic" w:hint="cs"/>
          <w:sz w:val="28"/>
          <w:szCs w:val="28"/>
          <w:rtl/>
          <w:lang w:bidi="ar-EG"/>
        </w:rPr>
        <w:t>،، ص95</w:t>
      </w:r>
    </w:p>
  </w:footnote>
  <w:footnote w:id="18">
    <w:p w14:paraId="4FC3F794" w14:textId="77777777" w:rsidR="00EF4C27" w:rsidRPr="003E4BB3" w:rsidRDefault="00EF4C27" w:rsidP="00EF4C27">
      <w:pPr>
        <w:pStyle w:val="FootnoteText"/>
        <w:rPr>
          <w:color w:val="FF0000"/>
          <w:lang w:bidi="ar-EG"/>
        </w:rPr>
      </w:pPr>
      <w:r>
        <w:rPr>
          <w:rStyle w:val="FootnoteReference"/>
        </w:rPr>
        <w:footnoteRef/>
      </w:r>
      <w:r>
        <w:rPr>
          <w:rtl/>
        </w:rPr>
        <w:t xml:space="preserve"> </w:t>
      </w:r>
      <w:r w:rsidRPr="00C30CB8">
        <w:rPr>
          <w:rFonts w:ascii="Traditional Arabic" w:hAnsi="Traditional Arabic" w:cs="Traditional Arabic"/>
          <w:sz w:val="28"/>
          <w:szCs w:val="28"/>
          <w:rtl/>
        </w:rPr>
        <w:t xml:space="preserve">البخاري، </w:t>
      </w:r>
      <w:r w:rsidRPr="00C30CB8">
        <w:rPr>
          <w:rFonts w:ascii="Traditional Arabic" w:hAnsi="Traditional Arabic" w:cs="Traditional Arabic"/>
          <w:b/>
          <w:bCs/>
          <w:sz w:val="28"/>
          <w:szCs w:val="28"/>
          <w:rtl/>
        </w:rPr>
        <w:t>صحيح البخاري كتاب الحدود</w:t>
      </w:r>
      <w:r w:rsidRPr="00C30CB8">
        <w:rPr>
          <w:rFonts w:ascii="Traditional Arabic" w:hAnsi="Traditional Arabic" w:cs="Traditional Arabic"/>
          <w:sz w:val="28"/>
          <w:szCs w:val="28"/>
          <w:rtl/>
        </w:rPr>
        <w:t xml:space="preserve"> باب قطع السارق، حديث رقم 1688، ص710</w:t>
      </w:r>
    </w:p>
  </w:footnote>
  <w:footnote w:id="19">
    <w:p w14:paraId="2BFDB665" w14:textId="77777777" w:rsidR="00167EA8" w:rsidRPr="006C03D7" w:rsidRDefault="00167EA8" w:rsidP="00167EA8">
      <w:pPr>
        <w:pStyle w:val="FootnoteText"/>
        <w:jc w:val="both"/>
        <w:rPr>
          <w:rFonts w:ascii="Traditional Arabic" w:hAnsi="Traditional Arabic" w:cs="Traditional Arabic"/>
          <w:sz w:val="28"/>
          <w:szCs w:val="28"/>
          <w:rtl/>
          <w:lang w:bidi="ar-EG"/>
        </w:rPr>
      </w:pPr>
      <w:r w:rsidRPr="006C03D7">
        <w:rPr>
          <w:rStyle w:val="FootnoteReference"/>
          <w:rFonts w:ascii="Traditional Arabic" w:hAnsi="Traditional Arabic" w:cs="Traditional Arabic"/>
          <w:sz w:val="28"/>
          <w:szCs w:val="28"/>
        </w:rPr>
        <w:footnoteRef/>
      </w:r>
      <w:r w:rsidRPr="006C03D7">
        <w:rPr>
          <w:rFonts w:ascii="Traditional Arabic" w:hAnsi="Traditional Arabic" w:cs="Traditional Arabic"/>
          <w:sz w:val="28"/>
          <w:szCs w:val="28"/>
          <w:rtl/>
        </w:rPr>
        <w:t xml:space="preserve"> عنبوسي، محمود سيرين. </w:t>
      </w:r>
      <w:r w:rsidRPr="006C03D7">
        <w:rPr>
          <w:rFonts w:ascii="Traditional Arabic" w:hAnsi="Traditional Arabic" w:cs="Traditional Arabic"/>
          <w:b/>
          <w:bCs/>
          <w:sz w:val="28"/>
          <w:szCs w:val="28"/>
          <w:rtl/>
        </w:rPr>
        <w:t>الإعدام بين الشريعة والقانون</w:t>
      </w:r>
      <w:r w:rsidRPr="006C03D7">
        <w:rPr>
          <w:rFonts w:ascii="Traditional Arabic" w:hAnsi="Traditional Arabic" w:cs="Traditional Arabic"/>
          <w:sz w:val="28"/>
          <w:szCs w:val="28"/>
          <w:rtl/>
        </w:rPr>
        <w:t xml:space="preserve"> . ورقة بحثية منشورة، مؤتمر كلية الشريعة الخامس: حالات القتل في المجتمع: الأسباب والعلاج من منظور إسلامي واجتماعي وقانوني، مجلة النجاح، 2015م</w:t>
      </w:r>
      <w:r w:rsidRPr="006C03D7">
        <w:rPr>
          <w:rFonts w:ascii="Traditional Arabic" w:hAnsi="Traditional Arabic" w:cs="Traditional Arabic"/>
          <w:sz w:val="28"/>
          <w:szCs w:val="28"/>
          <w:rtl/>
          <w:lang w:bidi="ar-EG"/>
        </w:rPr>
        <w:t>، ص114</w:t>
      </w:r>
    </w:p>
  </w:footnote>
  <w:footnote w:id="20">
    <w:p w14:paraId="3F4AFB10" w14:textId="77777777" w:rsidR="00167EA8" w:rsidRPr="006C03D7" w:rsidRDefault="00167EA8" w:rsidP="00167EA8">
      <w:pPr>
        <w:pStyle w:val="FootnoteText"/>
        <w:jc w:val="both"/>
        <w:rPr>
          <w:rFonts w:ascii="Traditional Arabic" w:hAnsi="Traditional Arabic" w:cs="Traditional Arabic"/>
          <w:sz w:val="28"/>
          <w:szCs w:val="28"/>
          <w:rtl/>
          <w:lang w:bidi="ar-EG"/>
        </w:rPr>
      </w:pPr>
      <w:r w:rsidRPr="006C03D7">
        <w:rPr>
          <w:rStyle w:val="FootnoteReference"/>
          <w:rFonts w:ascii="Traditional Arabic" w:hAnsi="Traditional Arabic" w:cs="Traditional Arabic"/>
          <w:sz w:val="28"/>
          <w:szCs w:val="28"/>
        </w:rPr>
        <w:footnoteRef/>
      </w:r>
      <w:r w:rsidRPr="006C03D7">
        <w:rPr>
          <w:rFonts w:ascii="Traditional Arabic" w:hAnsi="Traditional Arabic" w:cs="Traditional Arabic"/>
          <w:sz w:val="28"/>
          <w:szCs w:val="28"/>
          <w:rtl/>
        </w:rPr>
        <w:t xml:space="preserve"> المصاروة، سيف إبراهيم محمد، </w:t>
      </w:r>
      <w:r w:rsidRPr="006C03D7">
        <w:rPr>
          <w:rFonts w:ascii="Traditional Arabic" w:hAnsi="Traditional Arabic" w:cs="Traditional Arabic"/>
          <w:b/>
          <w:bCs/>
          <w:sz w:val="28"/>
          <w:szCs w:val="28"/>
          <w:rtl/>
        </w:rPr>
        <w:t>الإشكاليات الخاصة بتنفيذ عقوبة الإعدام في التشريع الأردني</w:t>
      </w:r>
      <w:r w:rsidRPr="006C03D7">
        <w:rPr>
          <w:rFonts w:ascii="Traditional Arabic" w:hAnsi="Traditional Arabic" w:cs="Traditional Arabic"/>
          <w:sz w:val="28"/>
          <w:szCs w:val="28"/>
          <w:rtl/>
        </w:rPr>
        <w:t>. ورقة بحثية منشورة، مجلة جامعة مؤتة بالأردن</w:t>
      </w:r>
      <w:r w:rsidRPr="006C03D7">
        <w:rPr>
          <w:rFonts w:ascii="Traditional Arabic" w:hAnsi="Traditional Arabic" w:cs="Traditional Arabic"/>
          <w:sz w:val="28"/>
          <w:szCs w:val="28"/>
          <w:rtl/>
          <w:lang w:bidi="ar-EG"/>
        </w:rPr>
        <w:t>، 2016م، ص210</w:t>
      </w:r>
    </w:p>
  </w:footnote>
  <w:footnote w:id="21">
    <w:p w14:paraId="3A8E5B65" w14:textId="77777777" w:rsidR="00167EA8" w:rsidRPr="006C03D7" w:rsidRDefault="00167EA8" w:rsidP="00167EA8">
      <w:pPr>
        <w:pStyle w:val="FootnoteText"/>
        <w:jc w:val="both"/>
        <w:rPr>
          <w:rFonts w:ascii="Traditional Arabic" w:hAnsi="Traditional Arabic" w:cs="Traditional Arabic"/>
          <w:sz w:val="28"/>
          <w:szCs w:val="28"/>
          <w:rtl/>
          <w:lang w:bidi="ar-EG"/>
        </w:rPr>
      </w:pPr>
      <w:r w:rsidRPr="006C03D7">
        <w:rPr>
          <w:rStyle w:val="FootnoteReference"/>
          <w:rFonts w:ascii="Traditional Arabic" w:hAnsi="Traditional Arabic" w:cs="Traditional Arabic"/>
          <w:sz w:val="28"/>
          <w:szCs w:val="28"/>
        </w:rPr>
        <w:footnoteRef/>
      </w:r>
      <w:r w:rsidRPr="006C03D7">
        <w:rPr>
          <w:rFonts w:ascii="Traditional Arabic" w:hAnsi="Traditional Arabic" w:cs="Traditional Arabic"/>
          <w:sz w:val="28"/>
          <w:szCs w:val="28"/>
          <w:rtl/>
        </w:rPr>
        <w:t xml:space="preserve"> بولحية، مصطفي، </w:t>
      </w:r>
      <w:r w:rsidRPr="006C03D7">
        <w:rPr>
          <w:rFonts w:ascii="Traditional Arabic" w:hAnsi="Traditional Arabic" w:cs="Traditional Arabic"/>
          <w:b/>
          <w:bCs/>
          <w:sz w:val="28"/>
          <w:szCs w:val="28"/>
          <w:rtl/>
        </w:rPr>
        <w:t>جريمة التخريب العمدي للعقار بين الفقة الإسلامي والقانون الجزائري</w:t>
      </w:r>
      <w:r w:rsidRPr="006C03D7">
        <w:rPr>
          <w:rFonts w:ascii="Traditional Arabic" w:hAnsi="Traditional Arabic" w:cs="Traditional Arabic"/>
          <w:sz w:val="28"/>
          <w:szCs w:val="28"/>
          <w:rtl/>
        </w:rPr>
        <w:t>، رسالة دكتوراة منشورة، جامعة أحمد دراية، الجزائر، 2019م</w:t>
      </w:r>
      <w:r w:rsidRPr="006C03D7">
        <w:rPr>
          <w:rFonts w:ascii="Traditional Arabic" w:hAnsi="Traditional Arabic" w:cs="Traditional Arabic"/>
          <w:sz w:val="28"/>
          <w:szCs w:val="28"/>
          <w:rtl/>
          <w:lang w:bidi="ar-EG"/>
        </w:rPr>
        <w:t>، ص54</w:t>
      </w:r>
    </w:p>
  </w:footnote>
  <w:footnote w:id="22">
    <w:p w14:paraId="02550F95" w14:textId="77777777" w:rsidR="00167EA8" w:rsidRPr="006C03D7" w:rsidRDefault="00167EA8" w:rsidP="00167EA8">
      <w:pPr>
        <w:pStyle w:val="FootnoteText"/>
        <w:jc w:val="lowKashida"/>
        <w:rPr>
          <w:rFonts w:ascii="Traditional Arabic" w:hAnsi="Traditional Arabic" w:cs="Traditional Arabic"/>
          <w:sz w:val="28"/>
          <w:szCs w:val="28"/>
        </w:rPr>
      </w:pPr>
      <w:r w:rsidRPr="006C03D7">
        <w:rPr>
          <w:rStyle w:val="FootnoteReference"/>
          <w:rFonts w:ascii="Traditional Arabic" w:hAnsi="Traditional Arabic" w:cs="Traditional Arabic"/>
          <w:sz w:val="28"/>
          <w:szCs w:val="28"/>
        </w:rPr>
        <w:footnoteRef/>
      </w:r>
      <w:r w:rsidRPr="006C03D7">
        <w:rPr>
          <w:rFonts w:ascii="Traditional Arabic" w:hAnsi="Traditional Arabic" w:cs="Traditional Arabic"/>
          <w:sz w:val="28"/>
          <w:szCs w:val="28"/>
          <w:rtl/>
        </w:rPr>
        <w:t xml:space="preserve"> أحمد أوغلو</w:t>
      </w:r>
      <w:r w:rsidRPr="006C03D7">
        <w:rPr>
          <w:rFonts w:ascii="Traditional Arabic" w:hAnsi="Traditional Arabic" w:cs="Traditional Arabic"/>
          <w:sz w:val="28"/>
          <w:szCs w:val="28"/>
          <w:rtl/>
          <w:lang w:bidi="ar-EG"/>
        </w:rPr>
        <w:t xml:space="preserve">، </w:t>
      </w:r>
      <w:r w:rsidRPr="006C03D7">
        <w:rPr>
          <w:rFonts w:ascii="Traditional Arabic" w:hAnsi="Traditional Arabic" w:cs="Traditional Arabic"/>
          <w:b/>
          <w:bCs/>
          <w:sz w:val="28"/>
          <w:szCs w:val="28"/>
          <w:rtl/>
        </w:rPr>
        <w:t>عقوبة الإعدام بين المؤيدين لها والمعارضين</w:t>
      </w:r>
      <w:r w:rsidRPr="006C03D7">
        <w:rPr>
          <w:rFonts w:ascii="Traditional Arabic" w:hAnsi="Traditional Arabic" w:cs="Traditional Arabic"/>
          <w:sz w:val="28"/>
          <w:szCs w:val="28"/>
          <w:rtl/>
        </w:rPr>
        <w:t>، رسالة ماجستير، كلية الحقوق والعلوم السياسية، جامعة محمد خيضر بسكرة، الجزائر، 2015م، ص18</w:t>
      </w:r>
    </w:p>
  </w:footnote>
  <w:footnote w:id="23">
    <w:p w14:paraId="14436B19" w14:textId="77777777" w:rsidR="00167EA8" w:rsidRPr="006C03D7" w:rsidRDefault="00167EA8" w:rsidP="00167EA8">
      <w:pPr>
        <w:pStyle w:val="FootnoteText"/>
        <w:jc w:val="both"/>
        <w:rPr>
          <w:rFonts w:ascii="Traditional Arabic" w:hAnsi="Traditional Arabic" w:cs="Traditional Arabic"/>
          <w:sz w:val="28"/>
          <w:szCs w:val="28"/>
          <w:rtl/>
          <w:lang w:bidi="ar-EG"/>
        </w:rPr>
      </w:pPr>
      <w:r w:rsidRPr="006C03D7">
        <w:rPr>
          <w:rStyle w:val="FootnoteReference"/>
          <w:rFonts w:ascii="Traditional Arabic" w:hAnsi="Traditional Arabic" w:cs="Traditional Arabic"/>
          <w:sz w:val="28"/>
          <w:szCs w:val="28"/>
        </w:rPr>
        <w:footnoteRef/>
      </w:r>
      <w:r w:rsidRPr="006C03D7">
        <w:rPr>
          <w:rFonts w:ascii="Traditional Arabic" w:hAnsi="Traditional Arabic" w:cs="Traditional Arabic"/>
          <w:sz w:val="28"/>
          <w:szCs w:val="28"/>
          <w:rtl/>
        </w:rPr>
        <w:t xml:space="preserve"> عنبوسي، محمود سيرين. </w:t>
      </w:r>
      <w:r w:rsidRPr="006C03D7">
        <w:rPr>
          <w:rFonts w:ascii="Traditional Arabic" w:hAnsi="Traditional Arabic" w:cs="Traditional Arabic"/>
          <w:b/>
          <w:bCs/>
          <w:sz w:val="28"/>
          <w:szCs w:val="28"/>
          <w:rtl/>
        </w:rPr>
        <w:t>الإعدام بين الشريعة والقانون</w:t>
      </w:r>
      <w:r w:rsidRPr="006C03D7">
        <w:rPr>
          <w:rFonts w:ascii="Traditional Arabic" w:hAnsi="Traditional Arabic" w:cs="Traditional Arabic"/>
          <w:sz w:val="28"/>
          <w:szCs w:val="28"/>
          <w:rtl/>
        </w:rPr>
        <w:t xml:space="preserve"> . ورقة بحثية منشورة، مؤتمر كلية الشريعة الخامس: حالات القتل في المجتمع: الأسباب والعلاج من منظور إسلامي واجتماعي وقانوني، مجلة النجاح، 2015م</w:t>
      </w:r>
      <w:r w:rsidRPr="006C03D7">
        <w:rPr>
          <w:rFonts w:ascii="Traditional Arabic" w:hAnsi="Traditional Arabic" w:cs="Traditional Arabic"/>
          <w:sz w:val="28"/>
          <w:szCs w:val="28"/>
          <w:rtl/>
          <w:lang w:bidi="ar-EG"/>
        </w:rPr>
        <w:t>، ص35</w:t>
      </w:r>
    </w:p>
  </w:footnote>
  <w:footnote w:id="24">
    <w:p w14:paraId="797058C0" w14:textId="77777777" w:rsidR="006E4E02" w:rsidRDefault="006E4E02">
      <w:pPr>
        <w:pStyle w:val="FootnoteText"/>
        <w:rPr>
          <w:lang w:bidi="ar-EG"/>
        </w:rPr>
      </w:pPr>
      <w:r>
        <w:rPr>
          <w:rStyle w:val="FootnoteReference"/>
        </w:rPr>
        <w:footnoteRef/>
      </w:r>
      <w:r>
        <w:rPr>
          <w:rtl/>
        </w:rPr>
        <w:t xml:space="preserve"> </w:t>
      </w:r>
      <w:r w:rsidRPr="006C03D7">
        <w:rPr>
          <w:rFonts w:ascii="Traditional Arabic" w:hAnsi="Traditional Arabic" w:cs="Traditional Arabic"/>
          <w:sz w:val="28"/>
          <w:szCs w:val="28"/>
          <w:rtl/>
        </w:rPr>
        <w:t xml:space="preserve">المصاروة، سيف إبراهيم محمد، </w:t>
      </w:r>
      <w:r w:rsidRPr="006C03D7">
        <w:rPr>
          <w:rFonts w:ascii="Traditional Arabic" w:hAnsi="Traditional Arabic" w:cs="Traditional Arabic"/>
          <w:b/>
          <w:bCs/>
          <w:sz w:val="28"/>
          <w:szCs w:val="28"/>
          <w:rtl/>
        </w:rPr>
        <w:t>الإشكاليات الخاصة بتنفيذ عقوبة الإعدام في التشريع الأردني</w:t>
      </w:r>
      <w:r w:rsidRPr="006C03D7">
        <w:rPr>
          <w:rFonts w:ascii="Traditional Arabic" w:hAnsi="Traditional Arabic" w:cs="Traditional Arabic"/>
          <w:sz w:val="28"/>
          <w:szCs w:val="28"/>
          <w:rtl/>
        </w:rPr>
        <w:t>. ورقة بحثية منشورة، مجلة جامعة مؤتة بالأردن</w:t>
      </w:r>
      <w:r w:rsidRPr="006C03D7">
        <w:rPr>
          <w:rFonts w:ascii="Traditional Arabic" w:hAnsi="Traditional Arabic" w:cs="Traditional Arabic"/>
          <w:sz w:val="28"/>
          <w:szCs w:val="28"/>
          <w:rtl/>
          <w:lang w:bidi="ar-EG"/>
        </w:rPr>
        <w:t>، 2016م،</w:t>
      </w:r>
      <w:r>
        <w:rPr>
          <w:rFonts w:ascii="Traditional Arabic" w:hAnsi="Traditional Arabic" w:cs="Traditional Arabic" w:hint="cs"/>
          <w:sz w:val="28"/>
          <w:szCs w:val="28"/>
          <w:rtl/>
          <w:lang w:bidi="ar-EG"/>
        </w:rPr>
        <w:t xml:space="preserve"> ص45</w:t>
      </w:r>
    </w:p>
  </w:footnote>
  <w:footnote w:id="25">
    <w:p w14:paraId="6609B735" w14:textId="77777777" w:rsidR="00167EA8" w:rsidRPr="00431589" w:rsidRDefault="00167EA8" w:rsidP="00167EA8">
      <w:pPr>
        <w:pStyle w:val="FootnoteText"/>
        <w:jc w:val="both"/>
        <w:rPr>
          <w:rFonts w:ascii="Traditional Arabic" w:hAnsi="Traditional Arabic" w:cs="Traditional Arabic"/>
          <w:sz w:val="28"/>
          <w:szCs w:val="28"/>
          <w:lang w:bidi="ar-EG"/>
        </w:rPr>
      </w:pPr>
      <w:r w:rsidRPr="00431589">
        <w:rPr>
          <w:rStyle w:val="FootnoteReference"/>
          <w:rFonts w:ascii="Traditional Arabic" w:hAnsi="Traditional Arabic" w:cs="Traditional Arabic"/>
          <w:sz w:val="28"/>
          <w:szCs w:val="28"/>
        </w:rPr>
        <w:footnoteRef/>
      </w:r>
      <w:r w:rsidRPr="00431589">
        <w:rPr>
          <w:rFonts w:ascii="Traditional Arabic" w:hAnsi="Traditional Arabic" w:cs="Traditional Arabic"/>
          <w:sz w:val="28"/>
          <w:szCs w:val="28"/>
          <w:rtl/>
        </w:rPr>
        <w:t xml:space="preserve"> </w:t>
      </w:r>
      <w:r w:rsidRPr="00431589">
        <w:rPr>
          <w:rFonts w:ascii="Traditional Arabic" w:hAnsi="Traditional Arabic" w:cs="Traditional Arabic"/>
          <w:sz w:val="28"/>
          <w:szCs w:val="28"/>
          <w:rtl/>
          <w:lang w:bidi="ar-EG"/>
        </w:rPr>
        <w:t>سورة المائدة، آية رقم 38</w:t>
      </w:r>
    </w:p>
  </w:footnote>
  <w:footnote w:id="26">
    <w:p w14:paraId="1DC65707" w14:textId="77777777" w:rsidR="00167EA8" w:rsidRDefault="00167EA8" w:rsidP="00BA188C">
      <w:pPr>
        <w:pStyle w:val="FootnoteText"/>
        <w:jc w:val="both"/>
      </w:pPr>
      <w:r>
        <w:rPr>
          <w:rStyle w:val="FootnoteReference"/>
        </w:rPr>
        <w:footnoteRef/>
      </w:r>
      <w:r>
        <w:rPr>
          <w:rtl/>
        </w:rPr>
        <w:t xml:space="preserve"> </w:t>
      </w:r>
      <w:r w:rsidRPr="00EE5192">
        <w:rPr>
          <w:rFonts w:ascii="Traditional Arabic" w:hAnsi="Traditional Arabic" w:cs="Traditional Arabic"/>
          <w:sz w:val="28"/>
          <w:szCs w:val="28"/>
          <w:rtl/>
        </w:rPr>
        <w:t xml:space="preserve">سيده، على بن اسماعيل، </w:t>
      </w:r>
      <w:r w:rsidRPr="00EE5192">
        <w:rPr>
          <w:rFonts w:ascii="Traditional Arabic" w:hAnsi="Traditional Arabic" w:cs="Traditional Arabic"/>
          <w:b/>
          <w:bCs/>
          <w:sz w:val="28"/>
          <w:szCs w:val="28"/>
          <w:rtl/>
        </w:rPr>
        <w:t>المحكم والمحيط الأعظم</w:t>
      </w:r>
      <w:r w:rsidRPr="00EE5192">
        <w:rPr>
          <w:rFonts w:ascii="Traditional Arabic" w:hAnsi="Traditional Arabic" w:cs="Traditional Arabic"/>
          <w:sz w:val="28"/>
          <w:szCs w:val="28"/>
          <w:rtl/>
        </w:rPr>
        <w:t>، ت/45، تحقيق د. مصطفى السقا ود. حسين نصار. مطبعة مصطفى البابي الحلبي. القاهرة 1377ﻫ</w:t>
      </w:r>
      <w:r w:rsidRPr="00EE5192">
        <w:rPr>
          <w:rFonts w:ascii="Traditional Arabic" w:hAnsi="Traditional Arabic" w:cs="Traditional Arabic"/>
          <w:sz w:val="28"/>
          <w:szCs w:val="28"/>
          <w:rtl/>
          <w:lang w:bidi="ar-EG"/>
        </w:rPr>
        <w:t>، ص25</w:t>
      </w:r>
    </w:p>
  </w:footnote>
  <w:footnote w:id="27">
    <w:p w14:paraId="5D057B29" w14:textId="7480E992" w:rsidR="00167EA8" w:rsidRPr="00F763B8" w:rsidRDefault="00167EA8" w:rsidP="00167EA8">
      <w:pPr>
        <w:pStyle w:val="FootnoteText"/>
        <w:rPr>
          <w:rFonts w:ascii="Traditional Arabic" w:hAnsi="Traditional Arabic" w:cs="Traditional Arabic"/>
          <w:sz w:val="28"/>
          <w:szCs w:val="28"/>
          <w:lang w:bidi="ar-EG"/>
        </w:rPr>
      </w:pPr>
      <w:r w:rsidRPr="00F763B8">
        <w:rPr>
          <w:rStyle w:val="FootnoteReference"/>
          <w:rFonts w:ascii="Traditional Arabic" w:hAnsi="Traditional Arabic" w:cs="Traditional Arabic"/>
          <w:sz w:val="28"/>
          <w:szCs w:val="28"/>
        </w:rPr>
        <w:footnoteRef/>
      </w:r>
      <w:r w:rsidRPr="00F763B8">
        <w:rPr>
          <w:rFonts w:ascii="Traditional Arabic" w:hAnsi="Traditional Arabic" w:cs="Traditional Arabic"/>
          <w:sz w:val="28"/>
          <w:szCs w:val="28"/>
          <w:rtl/>
        </w:rPr>
        <w:t xml:space="preserve"> الزمخشري، جار الله أبي القاسم محمود بن عمر</w:t>
      </w:r>
      <w:r w:rsidRPr="00F763B8">
        <w:rPr>
          <w:rFonts w:ascii="Traditional Arabic" w:hAnsi="Traditional Arabic" w:cs="Traditional Arabic"/>
          <w:sz w:val="28"/>
          <w:szCs w:val="28"/>
          <w:rtl/>
          <w:lang w:bidi="ar-EG"/>
        </w:rPr>
        <w:t xml:space="preserve">، </w:t>
      </w:r>
      <w:r w:rsidRPr="00F763B8">
        <w:rPr>
          <w:rFonts w:ascii="Traditional Arabic" w:hAnsi="Traditional Arabic" w:cs="Traditional Arabic"/>
          <w:b/>
          <w:bCs/>
          <w:sz w:val="28"/>
          <w:szCs w:val="28"/>
          <w:rtl/>
          <w:lang w:bidi="ar-EG"/>
        </w:rPr>
        <w:t>أساس البلاغة</w:t>
      </w:r>
      <w:r w:rsidRPr="00F763B8">
        <w:rPr>
          <w:rFonts w:ascii="Traditional Arabic" w:hAnsi="Traditional Arabic" w:cs="Traditional Arabic"/>
          <w:sz w:val="28"/>
          <w:szCs w:val="28"/>
          <w:rtl/>
          <w:lang w:bidi="ar-EG"/>
        </w:rPr>
        <w:t xml:space="preserve">، </w:t>
      </w:r>
      <w:r w:rsidRPr="00F763B8">
        <w:rPr>
          <w:rFonts w:ascii="Traditional Arabic" w:hAnsi="Traditional Arabic" w:cs="Traditional Arabic"/>
          <w:sz w:val="28"/>
          <w:szCs w:val="28"/>
          <w:rtl/>
        </w:rPr>
        <w:t>(ت538) تحقيق الأستاذ عبدالرحيم محمود, دار المعرفة. بيروت، 1987م،</w:t>
      </w:r>
      <w:r w:rsidRPr="00F763B8">
        <w:rPr>
          <w:rFonts w:ascii="Traditional Arabic" w:hAnsi="Traditional Arabic" w:cs="Traditional Arabic"/>
          <w:sz w:val="28"/>
          <w:szCs w:val="28"/>
          <w:rtl/>
          <w:lang w:bidi="ar-EG"/>
        </w:rPr>
        <w:t xml:space="preserve"> ص55.</w:t>
      </w:r>
    </w:p>
  </w:footnote>
  <w:footnote w:id="28">
    <w:p w14:paraId="3652C902" w14:textId="77777777" w:rsidR="00167EA8" w:rsidRPr="00F763B8" w:rsidRDefault="00167EA8" w:rsidP="00167EA8">
      <w:pPr>
        <w:pStyle w:val="FootnoteText"/>
        <w:jc w:val="both"/>
        <w:rPr>
          <w:rFonts w:ascii="Traditional Arabic" w:hAnsi="Traditional Arabic" w:cs="Traditional Arabic"/>
          <w:sz w:val="28"/>
          <w:szCs w:val="28"/>
          <w:lang w:bidi="ar-EG"/>
        </w:rPr>
      </w:pPr>
      <w:r w:rsidRPr="00F763B8">
        <w:rPr>
          <w:rStyle w:val="FootnoteReference"/>
          <w:rFonts w:ascii="Traditional Arabic" w:hAnsi="Traditional Arabic" w:cs="Traditional Arabic"/>
          <w:sz w:val="28"/>
          <w:szCs w:val="28"/>
        </w:rPr>
        <w:footnoteRef/>
      </w:r>
      <w:r w:rsidRPr="00F763B8">
        <w:rPr>
          <w:rFonts w:ascii="Traditional Arabic" w:hAnsi="Traditional Arabic" w:cs="Traditional Arabic"/>
          <w:sz w:val="28"/>
          <w:szCs w:val="28"/>
          <w:rtl/>
        </w:rPr>
        <w:t xml:space="preserve"> </w:t>
      </w:r>
      <w:r w:rsidRPr="00F763B8">
        <w:rPr>
          <w:rFonts w:ascii="Traditional Arabic" w:hAnsi="Traditional Arabic" w:cs="Traditional Arabic"/>
          <w:sz w:val="28"/>
          <w:szCs w:val="28"/>
          <w:rtl/>
          <w:lang w:bidi="ar-EG"/>
        </w:rPr>
        <w:t>سورة المائدة، آية رقم 45</w:t>
      </w:r>
    </w:p>
  </w:footnote>
  <w:footnote w:id="29">
    <w:p w14:paraId="20F627E5" w14:textId="77777777" w:rsidR="00167EA8" w:rsidRPr="00F763B8" w:rsidRDefault="00167EA8" w:rsidP="00167EA8">
      <w:pPr>
        <w:pStyle w:val="FootnoteText"/>
        <w:jc w:val="both"/>
        <w:rPr>
          <w:rFonts w:ascii="Traditional Arabic" w:hAnsi="Traditional Arabic" w:cs="Traditional Arabic"/>
          <w:sz w:val="28"/>
          <w:szCs w:val="28"/>
          <w:lang w:bidi="ar-EG"/>
        </w:rPr>
      </w:pPr>
      <w:r w:rsidRPr="00F763B8">
        <w:rPr>
          <w:rStyle w:val="FootnoteReference"/>
          <w:rFonts w:ascii="Traditional Arabic" w:hAnsi="Traditional Arabic" w:cs="Traditional Arabic"/>
          <w:sz w:val="28"/>
          <w:szCs w:val="28"/>
        </w:rPr>
        <w:footnoteRef/>
      </w:r>
      <w:r w:rsidRPr="00F763B8">
        <w:rPr>
          <w:rFonts w:ascii="Traditional Arabic" w:hAnsi="Traditional Arabic" w:cs="Traditional Arabic"/>
          <w:sz w:val="28"/>
          <w:szCs w:val="28"/>
          <w:rtl/>
        </w:rPr>
        <w:t xml:space="preserve"> البدارين، أيمن عبد الحميد عبد المجيد، </w:t>
      </w:r>
      <w:r w:rsidRPr="00F763B8">
        <w:rPr>
          <w:rFonts w:ascii="Traditional Arabic" w:hAnsi="Traditional Arabic" w:cs="Traditional Arabic"/>
          <w:b/>
          <w:bCs/>
          <w:sz w:val="28"/>
          <w:szCs w:val="28"/>
          <w:rtl/>
        </w:rPr>
        <w:t>شروط القاتل في عقوبة القصاص (الإعدام) دراسة فقهية قانونية مقارنة</w:t>
      </w:r>
      <w:r w:rsidRPr="00F763B8">
        <w:rPr>
          <w:rFonts w:ascii="Traditional Arabic" w:hAnsi="Traditional Arabic" w:cs="Traditional Arabic"/>
          <w:sz w:val="28"/>
          <w:szCs w:val="28"/>
          <w:rtl/>
        </w:rPr>
        <w:t>، ورقة بحثية منشورة، مجلة جامعة مؤته للعلوم الإنسانية والإجتماعية، الأردن، 2020م، ص82</w:t>
      </w:r>
    </w:p>
  </w:footnote>
  <w:footnote w:id="30">
    <w:p w14:paraId="1E6551B0" w14:textId="77777777" w:rsidR="00167EA8" w:rsidRPr="00F763B8" w:rsidRDefault="00167EA8" w:rsidP="00167EA8">
      <w:pPr>
        <w:pStyle w:val="FootnoteText"/>
        <w:rPr>
          <w:rFonts w:ascii="Traditional Arabic" w:hAnsi="Traditional Arabic" w:cs="Traditional Arabic"/>
          <w:sz w:val="28"/>
          <w:szCs w:val="28"/>
          <w:lang w:bidi="ar-EG"/>
        </w:rPr>
      </w:pPr>
      <w:r w:rsidRPr="00F763B8">
        <w:rPr>
          <w:rStyle w:val="FootnoteReference"/>
          <w:rFonts w:ascii="Traditional Arabic" w:hAnsi="Traditional Arabic" w:cs="Traditional Arabic"/>
          <w:sz w:val="28"/>
          <w:szCs w:val="28"/>
        </w:rPr>
        <w:footnoteRef/>
      </w:r>
      <w:r w:rsidRPr="00F763B8">
        <w:rPr>
          <w:rFonts w:ascii="Traditional Arabic" w:hAnsi="Traditional Arabic" w:cs="Traditional Arabic"/>
          <w:sz w:val="28"/>
          <w:szCs w:val="28"/>
          <w:rtl/>
        </w:rPr>
        <w:t xml:space="preserve"> </w:t>
      </w:r>
      <w:r w:rsidRPr="00F763B8">
        <w:rPr>
          <w:rFonts w:ascii="Traditional Arabic" w:hAnsi="Traditional Arabic" w:cs="Traditional Arabic"/>
          <w:sz w:val="28"/>
          <w:szCs w:val="28"/>
          <w:rtl/>
          <w:lang w:bidi="ar-EG"/>
        </w:rPr>
        <w:t>صحيح البخاري ومسلم</w:t>
      </w:r>
    </w:p>
  </w:footnote>
  <w:footnote w:id="31">
    <w:p w14:paraId="2FFB8A15" w14:textId="77777777" w:rsidR="00167EA8" w:rsidRPr="00A26DD2" w:rsidRDefault="00167EA8" w:rsidP="00167EA8">
      <w:pPr>
        <w:pStyle w:val="FootnoteText"/>
        <w:jc w:val="both"/>
        <w:rPr>
          <w:rFonts w:ascii="Traditional Arabic" w:hAnsi="Traditional Arabic" w:cs="Traditional Arabic"/>
          <w:sz w:val="28"/>
          <w:szCs w:val="28"/>
          <w:rtl/>
          <w:lang w:bidi="ar-EG"/>
        </w:rPr>
      </w:pPr>
      <w:r w:rsidRPr="00F763B8">
        <w:rPr>
          <w:rStyle w:val="FootnoteReference"/>
          <w:rFonts w:ascii="Traditional Arabic" w:hAnsi="Traditional Arabic" w:cs="Traditional Arabic"/>
          <w:sz w:val="28"/>
          <w:szCs w:val="28"/>
        </w:rPr>
        <w:footnoteRef/>
      </w:r>
      <w:r w:rsidRPr="00F763B8">
        <w:rPr>
          <w:rFonts w:ascii="Traditional Arabic" w:hAnsi="Traditional Arabic" w:cs="Traditional Arabic"/>
          <w:sz w:val="28"/>
          <w:szCs w:val="28"/>
          <w:rtl/>
        </w:rPr>
        <w:t xml:space="preserve"> القويفلي، محمد سليمان مقبل. </w:t>
      </w:r>
      <w:r w:rsidRPr="00F763B8">
        <w:rPr>
          <w:rFonts w:ascii="Traditional Arabic" w:hAnsi="Traditional Arabic" w:cs="Traditional Arabic"/>
          <w:b/>
          <w:bCs/>
          <w:sz w:val="28"/>
          <w:szCs w:val="28"/>
          <w:rtl/>
        </w:rPr>
        <w:t>عقوبة الإعدام في المملكة العربية السعودية بين المواثيق الدولية وخصوصية السعودي</w:t>
      </w:r>
      <w:r w:rsidRPr="00F763B8">
        <w:rPr>
          <w:rFonts w:ascii="Traditional Arabic" w:hAnsi="Traditional Arabic" w:cs="Traditional Arabic"/>
          <w:sz w:val="28"/>
          <w:szCs w:val="28"/>
          <w:rtl/>
        </w:rPr>
        <w:t>، رسالة ماجستير غير منشورة، الجامعة الإسلامية العالمية ماليزيا</w:t>
      </w:r>
      <w:r w:rsidRPr="00F763B8">
        <w:rPr>
          <w:rFonts w:ascii="Traditional Arabic" w:hAnsi="Traditional Arabic" w:cs="Traditional Arabic"/>
          <w:sz w:val="28"/>
          <w:szCs w:val="28"/>
          <w:rtl/>
          <w:lang w:bidi="ar-EG"/>
        </w:rPr>
        <w:t>، 2018م، ص75</w:t>
      </w:r>
    </w:p>
  </w:footnote>
  <w:footnote w:id="32">
    <w:p w14:paraId="5FED037F" w14:textId="77777777" w:rsidR="00167EA8" w:rsidRPr="00A26DD2" w:rsidRDefault="00167EA8" w:rsidP="00167EA8">
      <w:pPr>
        <w:pStyle w:val="FootnoteText"/>
        <w:jc w:val="both"/>
        <w:rPr>
          <w:rFonts w:ascii="Traditional Arabic" w:hAnsi="Traditional Arabic" w:cs="Traditional Arabic"/>
          <w:sz w:val="28"/>
          <w:szCs w:val="28"/>
          <w:rtl/>
        </w:rPr>
      </w:pPr>
      <w:r w:rsidRPr="00A26DD2">
        <w:rPr>
          <w:rStyle w:val="FootnoteReference"/>
          <w:rFonts w:ascii="Traditional Arabic" w:hAnsi="Traditional Arabic" w:cs="Traditional Arabic"/>
          <w:sz w:val="28"/>
          <w:szCs w:val="28"/>
        </w:rPr>
        <w:footnoteRef/>
      </w:r>
      <w:r w:rsidRPr="00A26DD2">
        <w:rPr>
          <w:rFonts w:ascii="Traditional Arabic" w:hAnsi="Traditional Arabic" w:cs="Traditional Arabic"/>
          <w:sz w:val="28"/>
          <w:szCs w:val="28"/>
          <w:rtl/>
        </w:rPr>
        <w:t xml:space="preserve"> سيده، على بن اسماعيل، </w:t>
      </w:r>
      <w:r w:rsidRPr="00A26DD2">
        <w:rPr>
          <w:rFonts w:ascii="Traditional Arabic" w:hAnsi="Traditional Arabic" w:cs="Traditional Arabic"/>
          <w:b/>
          <w:bCs/>
          <w:sz w:val="28"/>
          <w:szCs w:val="28"/>
          <w:rtl/>
        </w:rPr>
        <w:t>المحكم والمحيط الأعظم</w:t>
      </w:r>
      <w:r w:rsidRPr="00A26DD2">
        <w:rPr>
          <w:rFonts w:ascii="Traditional Arabic" w:hAnsi="Traditional Arabic" w:cs="Traditional Arabic"/>
          <w:sz w:val="28"/>
          <w:szCs w:val="28"/>
          <w:rtl/>
        </w:rPr>
        <w:t>، ت/45، تحقيق د. مصطفى السقا ود. حسين نصار. مطبعة مصطفى البابي الحلبي. القاهرة 1377ﻫ</w:t>
      </w:r>
      <w:r w:rsidRPr="00A26DD2">
        <w:rPr>
          <w:rFonts w:ascii="Traditional Arabic" w:hAnsi="Traditional Arabic" w:cs="Traditional Arabic"/>
          <w:sz w:val="28"/>
          <w:szCs w:val="28"/>
          <w:rtl/>
          <w:lang w:bidi="ar-EG"/>
        </w:rPr>
        <w:t>،</w:t>
      </w:r>
      <w:r w:rsidRPr="00A26DD2">
        <w:rPr>
          <w:rFonts w:ascii="Traditional Arabic" w:hAnsi="Traditional Arabic" w:cs="Traditional Arabic"/>
          <w:sz w:val="28"/>
          <w:szCs w:val="28"/>
          <w:lang w:bidi="ar-EG"/>
        </w:rPr>
        <w:t xml:space="preserve"> </w:t>
      </w:r>
      <w:r w:rsidRPr="00A26DD2">
        <w:rPr>
          <w:rFonts w:ascii="Traditional Arabic" w:hAnsi="Traditional Arabic" w:cs="Traditional Arabic"/>
          <w:sz w:val="28"/>
          <w:szCs w:val="28"/>
          <w:rtl/>
          <w:lang w:bidi="ar-EG"/>
        </w:rPr>
        <w:t>ص150</w:t>
      </w:r>
    </w:p>
  </w:footnote>
  <w:footnote w:id="33">
    <w:p w14:paraId="22ABFE00" w14:textId="77777777" w:rsidR="00167EA8" w:rsidRPr="00A26DD2" w:rsidRDefault="00167EA8" w:rsidP="00167EA8">
      <w:pPr>
        <w:pStyle w:val="FootnoteText"/>
        <w:jc w:val="both"/>
        <w:rPr>
          <w:rFonts w:ascii="Traditional Arabic" w:hAnsi="Traditional Arabic" w:cs="Traditional Arabic"/>
          <w:sz w:val="28"/>
          <w:szCs w:val="28"/>
          <w:rtl/>
          <w:lang w:bidi="ar-EG"/>
        </w:rPr>
      </w:pPr>
      <w:r w:rsidRPr="00A26DD2">
        <w:rPr>
          <w:rStyle w:val="FootnoteReference"/>
          <w:rFonts w:ascii="Traditional Arabic" w:hAnsi="Traditional Arabic" w:cs="Traditional Arabic"/>
          <w:sz w:val="28"/>
          <w:szCs w:val="28"/>
        </w:rPr>
        <w:footnoteRef/>
      </w:r>
      <w:r w:rsidRPr="00A26DD2">
        <w:rPr>
          <w:rFonts w:ascii="Traditional Arabic" w:hAnsi="Traditional Arabic" w:cs="Traditional Arabic"/>
          <w:sz w:val="28"/>
          <w:szCs w:val="28"/>
          <w:rtl/>
        </w:rPr>
        <w:t xml:space="preserve"> </w:t>
      </w:r>
      <w:r w:rsidRPr="00A26DD2">
        <w:rPr>
          <w:rFonts w:ascii="Traditional Arabic" w:hAnsi="Traditional Arabic" w:cs="Traditional Arabic"/>
          <w:sz w:val="28"/>
          <w:szCs w:val="28"/>
          <w:rtl/>
          <w:lang w:bidi="ar-EG"/>
        </w:rPr>
        <w:t xml:space="preserve">مجد الدين محمد بن يعقوب الفيروز آبادي، </w:t>
      </w:r>
      <w:r w:rsidRPr="00A26DD2">
        <w:rPr>
          <w:rFonts w:ascii="Traditional Arabic" w:hAnsi="Traditional Arabic" w:cs="Traditional Arabic"/>
          <w:b/>
          <w:bCs/>
          <w:sz w:val="28"/>
          <w:szCs w:val="28"/>
          <w:rtl/>
        </w:rPr>
        <w:t>القاموس المحـيط</w:t>
      </w:r>
      <w:r w:rsidRPr="00A26DD2">
        <w:rPr>
          <w:rFonts w:ascii="Traditional Arabic" w:hAnsi="Traditional Arabic" w:cs="Traditional Arabic"/>
          <w:sz w:val="28"/>
          <w:szCs w:val="28"/>
          <w:rtl/>
        </w:rPr>
        <w:t>، (مـصر: مطبعـة البـابي الحلـبي، ط</w:t>
      </w:r>
      <w:r w:rsidRPr="00A26DD2">
        <w:rPr>
          <w:rFonts w:ascii="Traditional Arabic" w:hAnsi="Traditional Arabic" w:cs="Traditional Arabic"/>
          <w:sz w:val="28"/>
          <w:szCs w:val="28"/>
        </w:rPr>
        <w:t>2</w:t>
      </w:r>
      <w:r w:rsidRPr="00A26DD2">
        <w:rPr>
          <w:rFonts w:ascii="Traditional Arabic" w:hAnsi="Traditional Arabic" w:cs="Traditional Arabic"/>
          <w:sz w:val="28"/>
          <w:szCs w:val="28"/>
          <w:rtl/>
        </w:rPr>
        <w:t xml:space="preserve"> ،</w:t>
      </w:r>
      <w:r w:rsidRPr="00A26DD2">
        <w:rPr>
          <w:rFonts w:ascii="Traditional Arabic" w:hAnsi="Traditional Arabic" w:cs="Traditional Arabic"/>
          <w:sz w:val="28"/>
          <w:szCs w:val="28"/>
        </w:rPr>
        <w:t>1371</w:t>
      </w:r>
      <w:r w:rsidRPr="00A26DD2">
        <w:rPr>
          <w:rFonts w:ascii="Traditional Arabic" w:hAnsi="Traditional Arabic" w:cs="Traditional Arabic"/>
          <w:sz w:val="28"/>
          <w:szCs w:val="28"/>
          <w:rtl/>
        </w:rPr>
        <w:t>ه)، ج</w:t>
      </w:r>
      <w:r w:rsidRPr="00A26DD2">
        <w:rPr>
          <w:rFonts w:ascii="Traditional Arabic" w:hAnsi="Traditional Arabic" w:cs="Traditional Arabic"/>
          <w:sz w:val="28"/>
          <w:szCs w:val="28"/>
        </w:rPr>
        <w:t>2</w:t>
      </w:r>
      <w:r w:rsidRPr="00A26DD2">
        <w:rPr>
          <w:rFonts w:ascii="Traditional Arabic" w:hAnsi="Traditional Arabic" w:cs="Traditional Arabic"/>
          <w:sz w:val="28"/>
          <w:szCs w:val="28"/>
          <w:rtl/>
        </w:rPr>
        <w:t>، ص</w:t>
      </w:r>
      <w:r w:rsidRPr="00A26DD2">
        <w:rPr>
          <w:rFonts w:ascii="Traditional Arabic" w:hAnsi="Traditional Arabic" w:cs="Traditional Arabic"/>
          <w:sz w:val="28"/>
          <w:szCs w:val="28"/>
        </w:rPr>
        <w:t>327</w:t>
      </w:r>
      <w:r w:rsidRPr="00A26DD2">
        <w:rPr>
          <w:rFonts w:ascii="Traditional Arabic" w:hAnsi="Traditional Arabic" w:cs="Traditional Arabic"/>
          <w:sz w:val="28"/>
          <w:szCs w:val="28"/>
          <w:rtl/>
        </w:rPr>
        <w:t xml:space="preserve">؛ ابـن فـارس، أحمد بن فارس بن زكرياء القزويني الرازي، </w:t>
      </w:r>
      <w:r w:rsidRPr="00A26DD2">
        <w:rPr>
          <w:rFonts w:ascii="Traditional Arabic" w:hAnsi="Traditional Arabic" w:cs="Traditional Arabic"/>
          <w:b/>
          <w:bCs/>
          <w:sz w:val="28"/>
          <w:szCs w:val="28"/>
          <w:rtl/>
        </w:rPr>
        <w:t>مقاييس اللغة</w:t>
      </w:r>
      <w:r w:rsidRPr="00A26DD2">
        <w:rPr>
          <w:rFonts w:ascii="Traditional Arabic" w:hAnsi="Traditional Arabic" w:cs="Traditional Arabic"/>
          <w:sz w:val="28"/>
          <w:szCs w:val="28"/>
          <w:rtl/>
        </w:rPr>
        <w:t>، تحقيق عبد الـسلام هـارون، (مـصر: مطبعـة البـابي الحلـبي، ط</w:t>
      </w:r>
      <w:r w:rsidRPr="00A26DD2">
        <w:rPr>
          <w:rFonts w:ascii="Traditional Arabic" w:hAnsi="Traditional Arabic" w:cs="Traditional Arabic"/>
          <w:sz w:val="28"/>
          <w:szCs w:val="28"/>
        </w:rPr>
        <w:t>2</w:t>
      </w:r>
      <w:r w:rsidRPr="00A26DD2">
        <w:rPr>
          <w:rFonts w:ascii="Traditional Arabic" w:hAnsi="Traditional Arabic" w:cs="Traditional Arabic"/>
          <w:sz w:val="28"/>
          <w:szCs w:val="28"/>
          <w:rtl/>
        </w:rPr>
        <w:t xml:space="preserve">، </w:t>
      </w:r>
      <w:r w:rsidRPr="00A26DD2">
        <w:rPr>
          <w:rFonts w:ascii="Traditional Arabic" w:hAnsi="Traditional Arabic" w:cs="Traditional Arabic"/>
          <w:sz w:val="28"/>
          <w:szCs w:val="28"/>
        </w:rPr>
        <w:t>1392</w:t>
      </w:r>
      <w:r w:rsidRPr="00A26DD2">
        <w:rPr>
          <w:rFonts w:ascii="Traditional Arabic" w:hAnsi="Traditional Arabic" w:cs="Traditional Arabic"/>
          <w:sz w:val="28"/>
          <w:szCs w:val="28"/>
          <w:rtl/>
        </w:rPr>
        <w:t>هـ)،ج</w:t>
      </w:r>
      <w:r w:rsidRPr="00A26DD2">
        <w:rPr>
          <w:rFonts w:ascii="Traditional Arabic" w:hAnsi="Traditional Arabic" w:cs="Traditional Arabic"/>
          <w:sz w:val="28"/>
          <w:szCs w:val="28"/>
        </w:rPr>
        <w:t>5</w:t>
      </w:r>
      <w:r>
        <w:rPr>
          <w:rFonts w:ascii="Traditional Arabic" w:hAnsi="Traditional Arabic" w:cs="Traditional Arabic" w:hint="cs"/>
          <w:sz w:val="28"/>
          <w:szCs w:val="28"/>
          <w:rtl/>
          <w:lang w:bidi="ar-EG"/>
        </w:rPr>
        <w:t>، ص65</w:t>
      </w:r>
    </w:p>
  </w:footnote>
  <w:footnote w:id="34">
    <w:p w14:paraId="3B3BF7D4" w14:textId="77777777" w:rsidR="00632BF0" w:rsidRPr="00A26DD2" w:rsidRDefault="00632BF0" w:rsidP="00632BF0">
      <w:pPr>
        <w:pStyle w:val="FootnoteText"/>
        <w:jc w:val="both"/>
        <w:rPr>
          <w:rFonts w:ascii="Traditional Arabic" w:hAnsi="Traditional Arabic" w:cs="Traditional Arabic"/>
          <w:sz w:val="28"/>
          <w:szCs w:val="28"/>
          <w:lang w:bidi="ar-EG"/>
        </w:rPr>
      </w:pPr>
      <w:r w:rsidRPr="00A26DD2">
        <w:rPr>
          <w:rStyle w:val="FootnoteReference"/>
          <w:rFonts w:ascii="Traditional Arabic" w:hAnsi="Traditional Arabic" w:cs="Traditional Arabic"/>
          <w:sz w:val="28"/>
          <w:szCs w:val="28"/>
        </w:rPr>
        <w:footnoteRef/>
      </w:r>
      <w:r w:rsidRPr="00A26DD2">
        <w:rPr>
          <w:rFonts w:ascii="Traditional Arabic" w:hAnsi="Traditional Arabic" w:cs="Traditional Arabic"/>
          <w:sz w:val="28"/>
          <w:szCs w:val="28"/>
          <w:rtl/>
        </w:rPr>
        <w:t xml:space="preserve"> الطبراني، سليمان بن أحمد بن أيوب أبو القاسم، </w:t>
      </w:r>
      <w:r w:rsidRPr="00A26DD2">
        <w:rPr>
          <w:rFonts w:ascii="Traditional Arabic" w:hAnsi="Traditional Arabic" w:cs="Traditional Arabic"/>
          <w:b/>
          <w:bCs/>
          <w:sz w:val="28"/>
          <w:szCs w:val="28"/>
          <w:rtl/>
        </w:rPr>
        <w:t>المعجم الكبير</w:t>
      </w:r>
      <w:r w:rsidRPr="00A26DD2">
        <w:rPr>
          <w:rFonts w:ascii="Traditional Arabic" w:hAnsi="Traditional Arabic" w:cs="Traditional Arabic"/>
          <w:sz w:val="28"/>
          <w:szCs w:val="28"/>
          <w:rtl/>
        </w:rPr>
        <w:t>، ت360ه، تحقيق حمدي بن عبد المجيد السلفي، مكنبة العلوم والحكم، الموصل،  1980م، ص80</w:t>
      </w:r>
    </w:p>
  </w:footnote>
  <w:footnote w:id="35">
    <w:p w14:paraId="069F51D7" w14:textId="77777777" w:rsidR="00632BF0" w:rsidRPr="00BB2B62" w:rsidRDefault="00632BF0" w:rsidP="00632BF0">
      <w:pPr>
        <w:pStyle w:val="FootnoteText"/>
        <w:jc w:val="both"/>
        <w:rPr>
          <w:rFonts w:ascii="Traditional Arabic" w:hAnsi="Traditional Arabic" w:cs="Traditional Arabic"/>
          <w:sz w:val="28"/>
          <w:szCs w:val="28"/>
          <w:rtl/>
          <w:lang w:bidi="ar-EG"/>
        </w:rPr>
      </w:pPr>
      <w:r w:rsidRPr="00BB2B62">
        <w:rPr>
          <w:rStyle w:val="FootnoteReference"/>
          <w:rFonts w:ascii="Traditional Arabic" w:hAnsi="Traditional Arabic" w:cs="Traditional Arabic"/>
          <w:sz w:val="28"/>
          <w:szCs w:val="28"/>
        </w:rPr>
        <w:footnoteRef/>
      </w:r>
      <w:r w:rsidRPr="00BB2B62">
        <w:rPr>
          <w:rFonts w:ascii="Traditional Arabic" w:hAnsi="Traditional Arabic" w:cs="Traditional Arabic"/>
          <w:sz w:val="28"/>
          <w:szCs w:val="28"/>
          <w:rtl/>
        </w:rPr>
        <w:t xml:space="preserve"> العفون، مختار عبد السلام، </w:t>
      </w:r>
      <w:r w:rsidRPr="00BB2B62">
        <w:rPr>
          <w:rFonts w:ascii="Traditional Arabic" w:hAnsi="Traditional Arabic" w:cs="Traditional Arabic"/>
          <w:b/>
          <w:bCs/>
          <w:sz w:val="28"/>
          <w:szCs w:val="28"/>
          <w:rtl/>
        </w:rPr>
        <w:t>جريمة هتك العرض بين الشريعة الإسلامية والقانون الجزائري</w:t>
      </w:r>
      <w:r w:rsidRPr="00BB2B62">
        <w:rPr>
          <w:rFonts w:ascii="Traditional Arabic" w:hAnsi="Traditional Arabic" w:cs="Traditional Arabic"/>
          <w:sz w:val="28"/>
          <w:szCs w:val="28"/>
          <w:rtl/>
        </w:rPr>
        <w:t>، رسالة ماجستير منشورة، جامعة زيان عاشور بالجلفة، الجزائر، 2020م</w:t>
      </w:r>
      <w:r w:rsidRPr="00BB2B62">
        <w:rPr>
          <w:rFonts w:ascii="Traditional Arabic" w:hAnsi="Traditional Arabic" w:cs="Traditional Arabic"/>
          <w:sz w:val="28"/>
          <w:szCs w:val="28"/>
          <w:rtl/>
          <w:lang w:bidi="ar-EG"/>
        </w:rPr>
        <w:t>، ص95</w:t>
      </w:r>
    </w:p>
  </w:footnote>
  <w:footnote w:id="36">
    <w:p w14:paraId="29136612" w14:textId="77777777" w:rsidR="00632BF0" w:rsidRPr="00D87444" w:rsidRDefault="00632BF0" w:rsidP="00632BF0">
      <w:pPr>
        <w:pStyle w:val="FootnoteText"/>
        <w:jc w:val="both"/>
        <w:rPr>
          <w:rFonts w:ascii="Traditional Arabic" w:hAnsi="Traditional Arabic" w:cs="Traditional Arabic"/>
          <w:sz w:val="28"/>
          <w:szCs w:val="28"/>
        </w:rPr>
      </w:pPr>
      <w:r w:rsidRPr="00D87444">
        <w:rPr>
          <w:rStyle w:val="FootnoteReference"/>
          <w:rFonts w:ascii="Traditional Arabic" w:hAnsi="Traditional Arabic" w:cs="Traditional Arabic"/>
          <w:sz w:val="28"/>
          <w:szCs w:val="28"/>
        </w:rPr>
        <w:footnoteRef/>
      </w:r>
      <w:r w:rsidRPr="00D87444">
        <w:rPr>
          <w:rFonts w:ascii="Traditional Arabic" w:hAnsi="Traditional Arabic" w:cs="Traditional Arabic"/>
          <w:sz w:val="28"/>
          <w:szCs w:val="28"/>
          <w:rtl/>
        </w:rPr>
        <w:t xml:space="preserve"> أحمد بن أبي الضياء وابن الساعاتي. </w:t>
      </w:r>
      <w:r w:rsidRPr="00D87444">
        <w:rPr>
          <w:rFonts w:ascii="Traditional Arabic" w:hAnsi="Traditional Arabic" w:cs="Traditional Arabic"/>
          <w:b/>
          <w:bCs/>
          <w:sz w:val="28"/>
          <w:szCs w:val="28"/>
          <w:rtl/>
        </w:rPr>
        <w:t>مجمع البحرين وملتقى النيرين في الفقه الحنفي</w:t>
      </w:r>
      <w:r w:rsidRPr="00D87444">
        <w:rPr>
          <w:rFonts w:ascii="Traditional Arabic" w:hAnsi="Traditional Arabic" w:cs="Traditional Arabic"/>
          <w:sz w:val="28"/>
          <w:szCs w:val="28"/>
          <w:rtl/>
        </w:rPr>
        <w:t>. دار الكتب العلمية، ٢٠٠٥م، ص95</w:t>
      </w:r>
    </w:p>
  </w:footnote>
  <w:footnote w:id="37">
    <w:p w14:paraId="683F8685" w14:textId="77777777" w:rsidR="00632BF0" w:rsidRPr="001040AB" w:rsidRDefault="00632BF0" w:rsidP="00632BF0">
      <w:pPr>
        <w:pStyle w:val="FootnoteText"/>
        <w:jc w:val="both"/>
        <w:rPr>
          <w:rFonts w:ascii="Traditional Arabic" w:hAnsi="Traditional Arabic" w:cs="Traditional Arabic"/>
          <w:sz w:val="28"/>
          <w:szCs w:val="28"/>
        </w:rPr>
      </w:pPr>
      <w:r>
        <w:rPr>
          <w:rStyle w:val="FootnoteReference"/>
        </w:rPr>
        <w:footnoteRef/>
      </w:r>
      <w:r>
        <w:rPr>
          <w:rtl/>
        </w:rPr>
        <w:t xml:space="preserve"> </w:t>
      </w:r>
      <w:r w:rsidRPr="001040AB">
        <w:rPr>
          <w:rFonts w:ascii="Traditional Arabic" w:hAnsi="Traditional Arabic" w:cs="Traditional Arabic"/>
          <w:sz w:val="28"/>
          <w:szCs w:val="28"/>
          <w:rtl/>
        </w:rPr>
        <w:t>شحاتة</w:t>
      </w:r>
      <w:r>
        <w:rPr>
          <w:rFonts w:ascii="Traditional Arabic" w:hAnsi="Traditional Arabic" w:cs="Traditional Arabic" w:hint="cs"/>
          <w:sz w:val="28"/>
          <w:szCs w:val="28"/>
          <w:rtl/>
          <w:lang w:bidi="ar-EG"/>
        </w:rPr>
        <w:t>،</w:t>
      </w:r>
      <w:r w:rsidRPr="001040AB">
        <w:rPr>
          <w:rFonts w:ascii="Traditional Arabic" w:hAnsi="Traditional Arabic" w:cs="Traditional Arabic"/>
          <w:sz w:val="28"/>
          <w:szCs w:val="28"/>
          <w:rtl/>
        </w:rPr>
        <w:t xml:space="preserve"> م. ع. ا. م., &amp; محمود عبد الله محمود. </w:t>
      </w:r>
      <w:r w:rsidRPr="001040AB">
        <w:rPr>
          <w:rFonts w:ascii="Traditional Arabic" w:hAnsi="Traditional Arabic" w:cs="Traditional Arabic"/>
          <w:b/>
          <w:bCs/>
          <w:sz w:val="28"/>
          <w:szCs w:val="28"/>
          <w:rtl/>
        </w:rPr>
        <w:t>قتل الجماعة بالواحد عند الحنابلة: دراسة فقهیة مقارنة</w:t>
      </w:r>
      <w:r w:rsidRPr="001040AB">
        <w:rPr>
          <w:rFonts w:ascii="Traditional Arabic" w:hAnsi="Traditional Arabic" w:cs="Traditional Arabic"/>
          <w:sz w:val="28"/>
          <w:szCs w:val="28"/>
          <w:rtl/>
        </w:rPr>
        <w:t xml:space="preserve">. مجلة الدراسات الإسلامیة والبحوث الأکادیمیة، العدد  ( ٩٠)، ٢٠١٨م،  </w:t>
      </w:r>
      <w:r>
        <w:rPr>
          <w:rFonts w:ascii="Traditional Arabic" w:hAnsi="Traditional Arabic" w:cs="Traditional Arabic" w:hint="cs"/>
          <w:sz w:val="28"/>
          <w:szCs w:val="28"/>
          <w:rtl/>
        </w:rPr>
        <w:t>ص85</w:t>
      </w:r>
    </w:p>
  </w:footnote>
  <w:footnote w:id="38">
    <w:p w14:paraId="68188F2E" w14:textId="77777777" w:rsidR="00632BF0" w:rsidRPr="00C439F5" w:rsidRDefault="00632BF0" w:rsidP="00632BF0">
      <w:pPr>
        <w:pStyle w:val="FootnoteText"/>
        <w:rPr>
          <w:rFonts w:ascii="Traditional Arabic" w:hAnsi="Traditional Arabic" w:cs="Traditional Arabic"/>
          <w:sz w:val="28"/>
          <w:szCs w:val="28"/>
          <w:lang w:bidi="ar-EG"/>
        </w:rPr>
      </w:pPr>
      <w:r w:rsidRPr="00C439F5">
        <w:rPr>
          <w:rStyle w:val="FootnoteReference"/>
          <w:rFonts w:ascii="Traditional Arabic" w:hAnsi="Traditional Arabic" w:cs="Traditional Arabic"/>
          <w:sz w:val="28"/>
          <w:szCs w:val="28"/>
        </w:rPr>
        <w:footnoteRef/>
      </w:r>
      <w:r w:rsidRPr="00C439F5">
        <w:rPr>
          <w:rFonts w:ascii="Traditional Arabic" w:hAnsi="Traditional Arabic" w:cs="Traditional Arabic"/>
          <w:sz w:val="28"/>
          <w:szCs w:val="28"/>
          <w:rtl/>
        </w:rPr>
        <w:t xml:space="preserve"> سورة النساء، آية رقم 15</w:t>
      </w:r>
    </w:p>
  </w:footnote>
  <w:footnote w:id="39">
    <w:p w14:paraId="1139C303" w14:textId="77777777" w:rsidR="00632BF0" w:rsidRDefault="00632BF0" w:rsidP="00632BF0">
      <w:pPr>
        <w:pStyle w:val="FootnoteText"/>
        <w:rPr>
          <w:lang w:bidi="ar-EG"/>
        </w:rPr>
      </w:pPr>
      <w:r w:rsidRPr="00C439F5">
        <w:rPr>
          <w:rStyle w:val="FootnoteReference"/>
          <w:rFonts w:ascii="Traditional Arabic" w:hAnsi="Traditional Arabic" w:cs="Traditional Arabic"/>
          <w:sz w:val="28"/>
          <w:szCs w:val="28"/>
        </w:rPr>
        <w:footnoteRef/>
      </w:r>
      <w:r w:rsidRPr="00C439F5">
        <w:rPr>
          <w:rFonts w:ascii="Traditional Arabic" w:hAnsi="Traditional Arabic" w:cs="Traditional Arabic"/>
          <w:sz w:val="28"/>
          <w:szCs w:val="28"/>
          <w:rtl/>
        </w:rPr>
        <w:t xml:space="preserve"> صحيح البخاري ومسلم.</w:t>
      </w:r>
      <w:r>
        <w:rPr>
          <w:rFonts w:hint="cs"/>
          <w:rtl/>
        </w:rPr>
        <w:t xml:space="preserve"> </w:t>
      </w:r>
    </w:p>
  </w:footnote>
  <w:footnote w:id="40">
    <w:p w14:paraId="6FFB01C2" w14:textId="77777777" w:rsidR="00632BF0" w:rsidRPr="00A26DD2" w:rsidRDefault="00632BF0" w:rsidP="00632BF0">
      <w:pPr>
        <w:pStyle w:val="FootnoteText"/>
        <w:jc w:val="both"/>
        <w:rPr>
          <w:rFonts w:ascii="Traditional Arabic" w:hAnsi="Traditional Arabic" w:cs="Traditional Arabic"/>
          <w:sz w:val="28"/>
          <w:szCs w:val="28"/>
          <w:rtl/>
          <w:lang w:bidi="ar-EG"/>
        </w:rPr>
      </w:pPr>
      <w:r w:rsidRPr="00A26DD2">
        <w:rPr>
          <w:rStyle w:val="FootnoteReference"/>
          <w:rFonts w:ascii="Traditional Arabic" w:hAnsi="Traditional Arabic" w:cs="Traditional Arabic"/>
          <w:sz w:val="28"/>
          <w:szCs w:val="28"/>
        </w:rPr>
        <w:footnoteRef/>
      </w:r>
      <w:r w:rsidRPr="00A26DD2">
        <w:rPr>
          <w:rFonts w:ascii="Traditional Arabic" w:hAnsi="Traditional Arabic" w:cs="Traditional Arabic"/>
          <w:sz w:val="28"/>
          <w:szCs w:val="28"/>
          <w:rtl/>
        </w:rPr>
        <w:t xml:space="preserve"> العفون، مختار عبد السلام، </w:t>
      </w:r>
      <w:r w:rsidRPr="00A26DD2">
        <w:rPr>
          <w:rFonts w:ascii="Traditional Arabic" w:hAnsi="Traditional Arabic" w:cs="Traditional Arabic"/>
          <w:b/>
          <w:bCs/>
          <w:sz w:val="28"/>
          <w:szCs w:val="28"/>
          <w:rtl/>
        </w:rPr>
        <w:t>جريمة هتك العرض بين الشريعة الإسلامية والقانون الجزائري</w:t>
      </w:r>
      <w:r w:rsidRPr="00A26DD2">
        <w:rPr>
          <w:rFonts w:ascii="Traditional Arabic" w:hAnsi="Traditional Arabic" w:cs="Traditional Arabic"/>
          <w:sz w:val="28"/>
          <w:szCs w:val="28"/>
          <w:rtl/>
        </w:rPr>
        <w:t>، رسالة ماجستير منشورة، جامعة زيان عاشور بالجلفة، الجزائر، 2020م</w:t>
      </w:r>
      <w:r w:rsidRPr="00A26DD2">
        <w:rPr>
          <w:rFonts w:ascii="Traditional Arabic" w:hAnsi="Traditional Arabic" w:cs="Traditional Arabic"/>
          <w:sz w:val="28"/>
          <w:szCs w:val="28"/>
          <w:rtl/>
          <w:lang w:bidi="ar-EG"/>
        </w:rPr>
        <w:t>، ص95</w:t>
      </w:r>
    </w:p>
  </w:footnote>
  <w:footnote w:id="41">
    <w:p w14:paraId="0B7F6E1C" w14:textId="77777777" w:rsidR="00632BF0" w:rsidRPr="00BB2B62" w:rsidRDefault="00632BF0" w:rsidP="00632BF0">
      <w:pPr>
        <w:pStyle w:val="FootnoteText"/>
        <w:jc w:val="both"/>
        <w:rPr>
          <w:rFonts w:ascii="Traditional Arabic" w:hAnsi="Traditional Arabic" w:cs="Traditional Arabic"/>
          <w:sz w:val="28"/>
          <w:szCs w:val="28"/>
          <w:lang w:bidi="ar-EG"/>
        </w:rPr>
      </w:pPr>
      <w:r w:rsidRPr="00BB2B62">
        <w:rPr>
          <w:rStyle w:val="FootnoteReference"/>
          <w:rFonts w:ascii="Traditional Arabic" w:hAnsi="Traditional Arabic" w:cs="Traditional Arabic"/>
          <w:sz w:val="28"/>
          <w:szCs w:val="28"/>
        </w:rPr>
        <w:footnoteRef/>
      </w:r>
      <w:r w:rsidRPr="00BB2B62">
        <w:rPr>
          <w:rFonts w:ascii="Traditional Arabic" w:hAnsi="Traditional Arabic" w:cs="Traditional Arabic"/>
          <w:sz w:val="28"/>
          <w:szCs w:val="28"/>
          <w:rtl/>
        </w:rPr>
        <w:t xml:space="preserve"> الفيروز آبادي، </w:t>
      </w:r>
      <w:r w:rsidRPr="00BB2B62">
        <w:rPr>
          <w:rFonts w:ascii="Traditional Arabic" w:hAnsi="Traditional Arabic" w:cs="Traditional Arabic"/>
          <w:b/>
          <w:bCs/>
          <w:sz w:val="28"/>
          <w:szCs w:val="28"/>
          <w:rtl/>
        </w:rPr>
        <w:t>القاموس المحـيط</w:t>
      </w:r>
      <w:r w:rsidRPr="00BB2B62">
        <w:rPr>
          <w:rFonts w:ascii="Traditional Arabic" w:hAnsi="Traditional Arabic" w:cs="Traditional Arabic"/>
          <w:sz w:val="28"/>
          <w:szCs w:val="28"/>
          <w:rtl/>
        </w:rPr>
        <w:t>، (مـصر: مطبعـة البـابي الحلـبي، ط</w:t>
      </w:r>
      <w:r w:rsidRPr="00BB2B62">
        <w:rPr>
          <w:rFonts w:ascii="Traditional Arabic" w:hAnsi="Traditional Arabic" w:cs="Traditional Arabic"/>
          <w:sz w:val="28"/>
          <w:szCs w:val="28"/>
        </w:rPr>
        <w:t>2</w:t>
      </w:r>
      <w:r w:rsidRPr="00BB2B62">
        <w:rPr>
          <w:rFonts w:ascii="Traditional Arabic" w:hAnsi="Traditional Arabic" w:cs="Traditional Arabic"/>
          <w:sz w:val="28"/>
          <w:szCs w:val="28"/>
          <w:rtl/>
        </w:rPr>
        <w:t xml:space="preserve"> ،</w:t>
      </w:r>
      <w:r w:rsidRPr="00BB2B62">
        <w:rPr>
          <w:rFonts w:ascii="Traditional Arabic" w:hAnsi="Traditional Arabic" w:cs="Traditional Arabic"/>
          <w:sz w:val="28"/>
          <w:szCs w:val="28"/>
        </w:rPr>
        <w:t>1371</w:t>
      </w:r>
      <w:r w:rsidRPr="00BB2B62">
        <w:rPr>
          <w:rFonts w:ascii="Traditional Arabic" w:hAnsi="Traditional Arabic" w:cs="Traditional Arabic"/>
          <w:sz w:val="28"/>
          <w:szCs w:val="28"/>
          <w:rtl/>
        </w:rPr>
        <w:t>ه)، ج</w:t>
      </w:r>
      <w:r w:rsidRPr="00BB2B62">
        <w:rPr>
          <w:rFonts w:ascii="Traditional Arabic" w:hAnsi="Traditional Arabic" w:cs="Traditional Arabic"/>
          <w:sz w:val="28"/>
          <w:szCs w:val="28"/>
        </w:rPr>
        <w:t>2</w:t>
      </w:r>
      <w:r w:rsidRPr="00BB2B62">
        <w:rPr>
          <w:rFonts w:ascii="Traditional Arabic" w:hAnsi="Traditional Arabic" w:cs="Traditional Arabic"/>
          <w:sz w:val="28"/>
          <w:szCs w:val="28"/>
          <w:rtl/>
        </w:rPr>
        <w:t>، ص</w:t>
      </w:r>
      <w:r w:rsidRPr="00BB2B62">
        <w:rPr>
          <w:rFonts w:ascii="Traditional Arabic" w:hAnsi="Traditional Arabic" w:cs="Traditional Arabic"/>
          <w:sz w:val="28"/>
          <w:szCs w:val="28"/>
        </w:rPr>
        <w:t>327</w:t>
      </w:r>
      <w:r w:rsidRPr="00BB2B62">
        <w:rPr>
          <w:rFonts w:ascii="Traditional Arabic" w:hAnsi="Traditional Arabic" w:cs="Traditional Arabic"/>
          <w:sz w:val="28"/>
          <w:szCs w:val="28"/>
          <w:rtl/>
        </w:rPr>
        <w:t xml:space="preserve">؛ ابـن فـارس، أحمد بن فارس بن زكرياء القزويني الرازي، </w:t>
      </w:r>
      <w:r w:rsidRPr="00BB2B62">
        <w:rPr>
          <w:rFonts w:ascii="Traditional Arabic" w:hAnsi="Traditional Arabic" w:cs="Traditional Arabic"/>
          <w:b/>
          <w:bCs/>
          <w:sz w:val="28"/>
          <w:szCs w:val="28"/>
          <w:rtl/>
        </w:rPr>
        <w:t>مقاييس اللغة</w:t>
      </w:r>
      <w:r w:rsidRPr="00BB2B62">
        <w:rPr>
          <w:rFonts w:ascii="Traditional Arabic" w:hAnsi="Traditional Arabic" w:cs="Traditional Arabic"/>
          <w:sz w:val="28"/>
          <w:szCs w:val="28"/>
          <w:rtl/>
        </w:rPr>
        <w:t>، تحقيق عبد الـسلام هـارون، (مـصر: مطبعـة البـابي الحلـبي، ط</w:t>
      </w:r>
      <w:r w:rsidRPr="00BB2B62">
        <w:rPr>
          <w:rFonts w:ascii="Traditional Arabic" w:hAnsi="Traditional Arabic" w:cs="Traditional Arabic"/>
          <w:sz w:val="28"/>
          <w:szCs w:val="28"/>
        </w:rPr>
        <w:t>2</w:t>
      </w:r>
      <w:r w:rsidRPr="00BB2B62">
        <w:rPr>
          <w:rFonts w:ascii="Traditional Arabic" w:hAnsi="Traditional Arabic" w:cs="Traditional Arabic"/>
          <w:sz w:val="28"/>
          <w:szCs w:val="28"/>
          <w:rtl/>
        </w:rPr>
        <w:t xml:space="preserve">، </w:t>
      </w:r>
      <w:r w:rsidRPr="00BB2B62">
        <w:rPr>
          <w:rFonts w:ascii="Traditional Arabic" w:hAnsi="Traditional Arabic" w:cs="Traditional Arabic"/>
          <w:sz w:val="28"/>
          <w:szCs w:val="28"/>
        </w:rPr>
        <w:t>1392</w:t>
      </w:r>
      <w:r w:rsidRPr="00BB2B62">
        <w:rPr>
          <w:rFonts w:ascii="Traditional Arabic" w:hAnsi="Traditional Arabic" w:cs="Traditional Arabic"/>
          <w:sz w:val="28"/>
          <w:szCs w:val="28"/>
          <w:rtl/>
        </w:rPr>
        <w:t>هـ)،ج</w:t>
      </w:r>
      <w:r w:rsidRPr="00BB2B62">
        <w:rPr>
          <w:rFonts w:ascii="Traditional Arabic" w:hAnsi="Traditional Arabic" w:cs="Traditional Arabic"/>
          <w:sz w:val="28"/>
          <w:szCs w:val="28"/>
        </w:rPr>
        <w:t>5</w:t>
      </w:r>
      <w:r w:rsidRPr="00BB2B62">
        <w:rPr>
          <w:rFonts w:ascii="Traditional Arabic" w:hAnsi="Traditional Arabic" w:cs="Traditional Arabic"/>
          <w:sz w:val="28"/>
          <w:szCs w:val="28"/>
          <w:rtl/>
        </w:rPr>
        <w:t>، ص70</w:t>
      </w:r>
    </w:p>
  </w:footnote>
  <w:footnote w:id="42">
    <w:p w14:paraId="32AFDAC0" w14:textId="77777777" w:rsidR="00632BF0" w:rsidRPr="00BB2B62" w:rsidRDefault="00632BF0" w:rsidP="00D0172C">
      <w:pPr>
        <w:pStyle w:val="FootnoteText"/>
        <w:jc w:val="both"/>
        <w:rPr>
          <w:rFonts w:ascii="Traditional Arabic" w:hAnsi="Traditional Arabic" w:cs="Traditional Arabic"/>
          <w:sz w:val="28"/>
          <w:szCs w:val="28"/>
          <w:rtl/>
        </w:rPr>
      </w:pPr>
      <w:r w:rsidRPr="00BB2B62">
        <w:rPr>
          <w:rStyle w:val="FootnoteReference"/>
          <w:rFonts w:ascii="Traditional Arabic" w:hAnsi="Traditional Arabic" w:cs="Traditional Arabic"/>
          <w:sz w:val="28"/>
          <w:szCs w:val="28"/>
        </w:rPr>
        <w:footnoteRef/>
      </w:r>
      <w:r w:rsidRPr="00BB2B62">
        <w:rPr>
          <w:rFonts w:ascii="Traditional Arabic" w:hAnsi="Traditional Arabic" w:cs="Traditional Arabic"/>
          <w:sz w:val="28"/>
          <w:szCs w:val="28"/>
          <w:rtl/>
        </w:rPr>
        <w:t xml:space="preserve"> الزبيدي، السيد محمد مرتضي، </w:t>
      </w:r>
      <w:r w:rsidRPr="00BB2B62">
        <w:rPr>
          <w:rFonts w:ascii="Traditional Arabic" w:hAnsi="Traditional Arabic" w:cs="Traditional Arabic"/>
          <w:b/>
          <w:bCs/>
          <w:sz w:val="28"/>
          <w:szCs w:val="28"/>
          <w:rtl/>
        </w:rPr>
        <w:t>تاج العروس من جواهر القاموس</w:t>
      </w:r>
      <w:r w:rsidRPr="00BB2B62">
        <w:rPr>
          <w:rFonts w:ascii="Traditional Arabic" w:hAnsi="Traditional Arabic" w:cs="Traditional Arabic"/>
          <w:sz w:val="28"/>
          <w:szCs w:val="28"/>
          <w:rtl/>
        </w:rPr>
        <w:t>، حققه مجموعة من العلماء بإشراف وزارة الإعلام. دولة الكويت، 2001</w:t>
      </w:r>
      <w:r w:rsidRPr="00BB2B62">
        <w:rPr>
          <w:rFonts w:ascii="Traditional Arabic" w:hAnsi="Traditional Arabic" w:cs="Traditional Arabic"/>
          <w:sz w:val="28"/>
          <w:szCs w:val="28"/>
          <w:rtl/>
          <w:lang w:bidi="ar-EG"/>
        </w:rPr>
        <w:t>م،</w:t>
      </w:r>
      <w:r w:rsidRPr="00BB2B62">
        <w:rPr>
          <w:rFonts w:ascii="Traditional Arabic" w:hAnsi="Traditional Arabic" w:cs="Traditional Arabic"/>
          <w:sz w:val="28"/>
          <w:szCs w:val="28"/>
          <w:lang w:bidi="ar-EG"/>
        </w:rPr>
        <w:t xml:space="preserve"> </w:t>
      </w:r>
      <w:r w:rsidRPr="00BB2B62">
        <w:rPr>
          <w:rFonts w:ascii="Traditional Arabic" w:hAnsi="Traditional Arabic" w:cs="Traditional Arabic"/>
          <w:sz w:val="28"/>
          <w:szCs w:val="28"/>
          <w:rtl/>
          <w:lang w:bidi="ar-EG"/>
        </w:rPr>
        <w:t>ص90</w:t>
      </w:r>
    </w:p>
  </w:footnote>
  <w:footnote w:id="43">
    <w:p w14:paraId="1F67C288" w14:textId="77777777" w:rsidR="00632BF0" w:rsidRPr="001040AB" w:rsidRDefault="00632BF0" w:rsidP="00D0172C">
      <w:pPr>
        <w:pStyle w:val="FootnoteText"/>
        <w:jc w:val="both"/>
        <w:rPr>
          <w:rFonts w:ascii="Traditional Arabic" w:hAnsi="Traditional Arabic" w:cs="Traditional Arabic"/>
          <w:sz w:val="28"/>
          <w:szCs w:val="28"/>
        </w:rPr>
      </w:pPr>
      <w:r w:rsidRPr="001040AB">
        <w:rPr>
          <w:rStyle w:val="FootnoteReference"/>
          <w:rFonts w:ascii="Traditional Arabic" w:hAnsi="Traditional Arabic" w:cs="Traditional Arabic"/>
          <w:sz w:val="28"/>
          <w:szCs w:val="28"/>
        </w:rPr>
        <w:footnoteRef/>
      </w:r>
      <w:r w:rsidRPr="001040AB">
        <w:rPr>
          <w:rFonts w:ascii="Traditional Arabic" w:hAnsi="Traditional Arabic" w:cs="Traditional Arabic"/>
          <w:sz w:val="28"/>
          <w:szCs w:val="28"/>
          <w:rtl/>
        </w:rPr>
        <w:t xml:space="preserve"> شحاتة</w:t>
      </w:r>
      <w:r>
        <w:rPr>
          <w:rFonts w:ascii="Traditional Arabic" w:hAnsi="Traditional Arabic" w:cs="Traditional Arabic" w:hint="cs"/>
          <w:sz w:val="28"/>
          <w:szCs w:val="28"/>
          <w:rtl/>
          <w:lang w:bidi="ar-EG"/>
        </w:rPr>
        <w:t>،</w:t>
      </w:r>
      <w:r w:rsidRPr="001040AB">
        <w:rPr>
          <w:rFonts w:ascii="Traditional Arabic" w:hAnsi="Traditional Arabic" w:cs="Traditional Arabic"/>
          <w:sz w:val="28"/>
          <w:szCs w:val="28"/>
          <w:rtl/>
        </w:rPr>
        <w:t xml:space="preserve"> م. ع. ا. م., &amp; محمود عبد الله محمود. </w:t>
      </w:r>
      <w:r w:rsidRPr="001040AB">
        <w:rPr>
          <w:rFonts w:ascii="Traditional Arabic" w:hAnsi="Traditional Arabic" w:cs="Traditional Arabic"/>
          <w:b/>
          <w:bCs/>
          <w:sz w:val="28"/>
          <w:szCs w:val="28"/>
          <w:rtl/>
        </w:rPr>
        <w:t>قتل الجماعة بالواحد عند الحنابلة: دراسة فقهیة مقارنة</w:t>
      </w:r>
      <w:r w:rsidRPr="001040AB">
        <w:rPr>
          <w:rFonts w:ascii="Traditional Arabic" w:hAnsi="Traditional Arabic" w:cs="Traditional Arabic"/>
          <w:sz w:val="28"/>
          <w:szCs w:val="28"/>
          <w:rtl/>
        </w:rPr>
        <w:t xml:space="preserve">. مجلة الدراسات الإسلامیة والبحوث الأکادیمیة، العدد  ( ٩٠)، ٢٠١٨م،  </w:t>
      </w:r>
      <w:r>
        <w:rPr>
          <w:rFonts w:ascii="Traditional Arabic" w:hAnsi="Traditional Arabic" w:cs="Traditional Arabic" w:hint="cs"/>
          <w:sz w:val="28"/>
          <w:szCs w:val="28"/>
          <w:rtl/>
        </w:rPr>
        <w:t>ص80</w:t>
      </w:r>
    </w:p>
  </w:footnote>
  <w:footnote w:id="44">
    <w:p w14:paraId="6A9E9985" w14:textId="77777777" w:rsidR="00632BF0" w:rsidRPr="00D87444" w:rsidRDefault="00632BF0" w:rsidP="00D0172C">
      <w:pPr>
        <w:pStyle w:val="FootnoteText"/>
        <w:jc w:val="both"/>
        <w:rPr>
          <w:rFonts w:ascii="Traditional Arabic" w:hAnsi="Traditional Arabic" w:cs="Traditional Arabic"/>
          <w:sz w:val="28"/>
          <w:szCs w:val="28"/>
          <w:rtl/>
          <w:lang w:bidi="ar-EG"/>
        </w:rPr>
      </w:pPr>
      <w:r w:rsidRPr="00D87444">
        <w:rPr>
          <w:rStyle w:val="FootnoteReference"/>
          <w:rFonts w:ascii="Traditional Arabic" w:hAnsi="Traditional Arabic" w:cs="Traditional Arabic"/>
          <w:sz w:val="28"/>
          <w:szCs w:val="28"/>
        </w:rPr>
        <w:footnoteRef/>
      </w:r>
      <w:r w:rsidRPr="00D87444">
        <w:rPr>
          <w:rFonts w:ascii="Traditional Arabic" w:hAnsi="Traditional Arabic" w:cs="Traditional Arabic"/>
          <w:sz w:val="28"/>
          <w:szCs w:val="28"/>
          <w:rtl/>
        </w:rPr>
        <w:t xml:space="preserve"> أحمد بن أبي الضياء وابن الساعاتي. </w:t>
      </w:r>
      <w:r w:rsidRPr="00D87444">
        <w:rPr>
          <w:rFonts w:ascii="Traditional Arabic" w:hAnsi="Traditional Arabic" w:cs="Traditional Arabic"/>
          <w:b/>
          <w:bCs/>
          <w:sz w:val="28"/>
          <w:szCs w:val="28"/>
          <w:rtl/>
        </w:rPr>
        <w:t>مجمع البحرين وملتقى النيرين في الفقه الحنفي</w:t>
      </w:r>
      <w:r w:rsidRPr="00D87444">
        <w:rPr>
          <w:rFonts w:ascii="Traditional Arabic" w:hAnsi="Traditional Arabic" w:cs="Traditional Arabic"/>
          <w:sz w:val="28"/>
          <w:szCs w:val="28"/>
          <w:rtl/>
        </w:rPr>
        <w:t>. دار الكتب العلمية، ٢٠٠٥م،</w:t>
      </w:r>
      <w:r>
        <w:rPr>
          <w:rFonts w:ascii="Traditional Arabic" w:hAnsi="Traditional Arabic" w:cs="Traditional Arabic"/>
          <w:sz w:val="28"/>
          <w:szCs w:val="28"/>
        </w:rPr>
        <w:t xml:space="preserve"> </w:t>
      </w:r>
      <w:r>
        <w:rPr>
          <w:rFonts w:ascii="Traditional Arabic" w:hAnsi="Traditional Arabic" w:cs="Traditional Arabic" w:hint="cs"/>
          <w:sz w:val="28"/>
          <w:szCs w:val="28"/>
          <w:rtl/>
          <w:lang w:bidi="ar-EG"/>
        </w:rPr>
        <w:t>ص105</w:t>
      </w:r>
    </w:p>
  </w:footnote>
  <w:footnote w:id="45">
    <w:p w14:paraId="61747368" w14:textId="77777777" w:rsidR="00632BF0" w:rsidRPr="001040AB" w:rsidRDefault="00632BF0" w:rsidP="00D0172C">
      <w:pPr>
        <w:pStyle w:val="FootnoteText"/>
        <w:jc w:val="both"/>
        <w:rPr>
          <w:rFonts w:ascii="Traditional Arabic" w:hAnsi="Traditional Arabic" w:cs="Traditional Arabic"/>
          <w:sz w:val="28"/>
          <w:szCs w:val="28"/>
        </w:rPr>
      </w:pPr>
      <w:r w:rsidRPr="001040AB">
        <w:rPr>
          <w:rStyle w:val="FootnoteReference"/>
          <w:rFonts w:ascii="Traditional Arabic" w:hAnsi="Traditional Arabic" w:cs="Traditional Arabic"/>
          <w:sz w:val="28"/>
          <w:szCs w:val="28"/>
        </w:rPr>
        <w:footnoteRef/>
      </w:r>
      <w:r w:rsidRPr="001040AB">
        <w:rPr>
          <w:rFonts w:ascii="Traditional Arabic" w:hAnsi="Traditional Arabic" w:cs="Traditional Arabic"/>
          <w:sz w:val="28"/>
          <w:szCs w:val="28"/>
          <w:rtl/>
        </w:rPr>
        <w:t xml:space="preserve"> أزهري، محمد. </w:t>
      </w:r>
      <w:r w:rsidRPr="001040AB">
        <w:rPr>
          <w:rFonts w:ascii="Traditional Arabic" w:hAnsi="Traditional Arabic" w:cs="Traditional Arabic"/>
          <w:b/>
          <w:bCs/>
          <w:sz w:val="28"/>
          <w:szCs w:val="28"/>
          <w:rtl/>
        </w:rPr>
        <w:t>تحليل المسائل التي يفتي عليها فقهاء الشافعية بالقول القديم</w:t>
      </w:r>
      <w:r w:rsidRPr="001040AB">
        <w:rPr>
          <w:rFonts w:ascii="Traditional Arabic" w:hAnsi="Traditional Arabic" w:cs="Traditional Arabic"/>
          <w:sz w:val="28"/>
          <w:szCs w:val="28"/>
          <w:rtl/>
        </w:rPr>
        <w:t>، رسالة دكتوراة، جامعة مولانا مالك ابراهيم، ٢٠١٩م، ص٢٠</w:t>
      </w:r>
    </w:p>
  </w:footnote>
  <w:footnote w:id="46">
    <w:p w14:paraId="4B7C52CB" w14:textId="77777777" w:rsidR="00632BF0" w:rsidRDefault="00632BF0" w:rsidP="00D0172C">
      <w:pPr>
        <w:pStyle w:val="FootnoteText"/>
        <w:jc w:val="both"/>
        <w:rPr>
          <w:rtl/>
          <w:lang w:bidi="ar-EG"/>
        </w:rPr>
      </w:pPr>
      <w:r w:rsidRPr="00BB2B62">
        <w:rPr>
          <w:rStyle w:val="FootnoteReference"/>
          <w:rFonts w:ascii="Traditional Arabic" w:hAnsi="Traditional Arabic" w:cs="Traditional Arabic"/>
          <w:sz w:val="28"/>
          <w:szCs w:val="28"/>
        </w:rPr>
        <w:footnoteRef/>
      </w:r>
      <w:r w:rsidRPr="00BB2B62">
        <w:rPr>
          <w:rFonts w:ascii="Traditional Arabic" w:hAnsi="Traditional Arabic" w:cs="Traditional Arabic"/>
          <w:sz w:val="28"/>
          <w:szCs w:val="28"/>
          <w:rtl/>
        </w:rPr>
        <w:t xml:space="preserve"> بخير، سديد، </w:t>
      </w:r>
      <w:r w:rsidRPr="00BB2B62">
        <w:rPr>
          <w:rFonts w:ascii="Traditional Arabic" w:hAnsi="Traditional Arabic" w:cs="Traditional Arabic"/>
          <w:b/>
          <w:bCs/>
          <w:sz w:val="28"/>
          <w:szCs w:val="28"/>
          <w:rtl/>
        </w:rPr>
        <w:t>الحماية الحنائية لحرمة الأنبياء دراسة مقارنة بين الشريعة والقانون في ضوء حرية الرأي والتعبير</w:t>
      </w:r>
      <w:r w:rsidRPr="00BB2B62">
        <w:rPr>
          <w:rFonts w:ascii="Traditional Arabic" w:hAnsi="Traditional Arabic" w:cs="Traditional Arabic"/>
          <w:sz w:val="28"/>
          <w:szCs w:val="28"/>
          <w:rtl/>
        </w:rPr>
        <w:t>، رسالة دكتوراة منشورة، جامعة الحاج الأخضر باتنة، الجزائر، 2020</w:t>
      </w:r>
      <w:r w:rsidRPr="00BB2B62">
        <w:rPr>
          <w:rFonts w:ascii="Traditional Arabic" w:hAnsi="Traditional Arabic" w:cs="Traditional Arabic"/>
          <w:sz w:val="28"/>
          <w:szCs w:val="28"/>
          <w:rtl/>
          <w:lang w:bidi="ar-EG"/>
        </w:rPr>
        <w:t>، ص80</w:t>
      </w:r>
    </w:p>
  </w:footnote>
  <w:footnote w:id="47">
    <w:p w14:paraId="7B8112CE" w14:textId="77777777" w:rsidR="00632BF0" w:rsidRPr="00BB2B62" w:rsidRDefault="00632BF0" w:rsidP="00D0172C">
      <w:pPr>
        <w:pStyle w:val="FootnoteText"/>
        <w:jc w:val="both"/>
        <w:rPr>
          <w:rFonts w:ascii="Traditional Arabic" w:hAnsi="Traditional Arabic" w:cs="Traditional Arabic"/>
          <w:sz w:val="28"/>
          <w:szCs w:val="28"/>
          <w:rtl/>
          <w:lang w:bidi="ar-EG"/>
        </w:rPr>
      </w:pPr>
      <w:r w:rsidRPr="00BB2B62">
        <w:rPr>
          <w:rStyle w:val="FootnoteReference"/>
          <w:rFonts w:ascii="Traditional Arabic" w:hAnsi="Traditional Arabic" w:cs="Traditional Arabic"/>
          <w:sz w:val="28"/>
          <w:szCs w:val="28"/>
        </w:rPr>
        <w:footnoteRef/>
      </w:r>
      <w:r w:rsidRPr="00BB2B62">
        <w:rPr>
          <w:rFonts w:ascii="Traditional Arabic" w:hAnsi="Traditional Arabic" w:cs="Traditional Arabic"/>
          <w:sz w:val="28"/>
          <w:szCs w:val="28"/>
          <w:rtl/>
        </w:rPr>
        <w:t xml:space="preserve"> بن عزة، عبد الرزاق. </w:t>
      </w:r>
      <w:r w:rsidRPr="00BB2B62">
        <w:rPr>
          <w:rFonts w:ascii="Traditional Arabic" w:hAnsi="Traditional Arabic" w:cs="Traditional Arabic"/>
          <w:b/>
          <w:bCs/>
          <w:sz w:val="28"/>
          <w:szCs w:val="28"/>
          <w:rtl/>
        </w:rPr>
        <w:t>عقوبة الإعدام دراسة مقارنة بين الشريعة الإسلامية والقانون الجنائي الجزائري</w:t>
      </w:r>
      <w:r w:rsidRPr="00BB2B62">
        <w:rPr>
          <w:rFonts w:ascii="Traditional Arabic" w:hAnsi="Traditional Arabic" w:cs="Traditional Arabic"/>
          <w:sz w:val="28"/>
          <w:szCs w:val="28"/>
          <w:rtl/>
        </w:rPr>
        <w:t>، رسالة ماجستير غير منشورة، جامعة الوادي، الجزائر</w:t>
      </w:r>
      <w:r w:rsidRPr="00BB2B62">
        <w:rPr>
          <w:rFonts w:ascii="Traditional Arabic" w:hAnsi="Traditional Arabic" w:cs="Traditional Arabic"/>
          <w:sz w:val="28"/>
          <w:szCs w:val="28"/>
          <w:rtl/>
          <w:lang w:bidi="ar-EG"/>
        </w:rPr>
        <w:t>، 2018م، ص65</w:t>
      </w:r>
    </w:p>
  </w:footnote>
  <w:footnote w:id="48">
    <w:p w14:paraId="21BB599B" w14:textId="77777777" w:rsidR="00632BF0" w:rsidRDefault="00632BF0" w:rsidP="00632BF0">
      <w:pPr>
        <w:pStyle w:val="FootnoteText"/>
      </w:pPr>
      <w:r>
        <w:rPr>
          <w:rStyle w:val="FootnoteReference"/>
        </w:rPr>
        <w:footnoteRef/>
      </w:r>
      <w:r>
        <w:rPr>
          <w:rtl/>
        </w:rPr>
        <w:t xml:space="preserve"> </w:t>
      </w:r>
      <w:r w:rsidRPr="001040AB">
        <w:rPr>
          <w:rFonts w:ascii="Traditional Arabic" w:hAnsi="Traditional Arabic" w:cs="Traditional Arabic"/>
          <w:sz w:val="28"/>
          <w:szCs w:val="28"/>
          <w:rtl/>
        </w:rPr>
        <w:t xml:space="preserve">أزهري، محمد. </w:t>
      </w:r>
      <w:r w:rsidRPr="001040AB">
        <w:rPr>
          <w:rFonts w:ascii="Traditional Arabic" w:hAnsi="Traditional Arabic" w:cs="Traditional Arabic"/>
          <w:b/>
          <w:bCs/>
          <w:sz w:val="28"/>
          <w:szCs w:val="28"/>
          <w:rtl/>
        </w:rPr>
        <w:t>تحليل المسائل التي يفتي عليها فقهاء الشافعية بالقول القديم</w:t>
      </w:r>
      <w:r w:rsidRPr="001040AB">
        <w:rPr>
          <w:rFonts w:ascii="Traditional Arabic" w:hAnsi="Traditional Arabic" w:cs="Traditional Arabic"/>
          <w:sz w:val="28"/>
          <w:szCs w:val="28"/>
          <w:rtl/>
        </w:rPr>
        <w:t>، رسالة دكتوراة، جامعة مولانا مالك ابراهيم، ٢٠١٩م، ص</w:t>
      </w:r>
      <w:r>
        <w:rPr>
          <w:rFonts w:ascii="Traditional Arabic" w:hAnsi="Traditional Arabic" w:cs="Traditional Arabic"/>
          <w:sz w:val="28"/>
          <w:szCs w:val="28"/>
        </w:rPr>
        <w:t>50</w:t>
      </w:r>
    </w:p>
  </w:footnote>
  <w:footnote w:id="49">
    <w:p w14:paraId="2B695106" w14:textId="77777777" w:rsidR="00632BF0" w:rsidRPr="001040AB" w:rsidRDefault="00632BF0" w:rsidP="00632BF0">
      <w:pPr>
        <w:pStyle w:val="FootnoteText"/>
        <w:jc w:val="both"/>
        <w:rPr>
          <w:rFonts w:ascii="Traditional Arabic" w:hAnsi="Traditional Arabic" w:cs="Traditional Arabic"/>
          <w:sz w:val="28"/>
          <w:szCs w:val="28"/>
        </w:rPr>
      </w:pPr>
      <w:r>
        <w:rPr>
          <w:rStyle w:val="FootnoteReference"/>
        </w:rPr>
        <w:footnoteRef/>
      </w:r>
      <w:r>
        <w:rPr>
          <w:rtl/>
        </w:rPr>
        <w:t xml:space="preserve"> </w:t>
      </w:r>
      <w:r w:rsidRPr="001040AB">
        <w:rPr>
          <w:rFonts w:ascii="Traditional Arabic" w:hAnsi="Traditional Arabic" w:cs="Traditional Arabic"/>
          <w:sz w:val="28"/>
          <w:szCs w:val="28"/>
          <w:rtl/>
        </w:rPr>
        <w:t>شحاتة</w:t>
      </w:r>
      <w:r>
        <w:rPr>
          <w:rFonts w:ascii="Traditional Arabic" w:hAnsi="Traditional Arabic" w:cs="Traditional Arabic" w:hint="cs"/>
          <w:sz w:val="28"/>
          <w:szCs w:val="28"/>
          <w:rtl/>
          <w:lang w:bidi="ar-EG"/>
        </w:rPr>
        <w:t>،</w:t>
      </w:r>
      <w:r w:rsidRPr="001040AB">
        <w:rPr>
          <w:rFonts w:ascii="Traditional Arabic" w:hAnsi="Traditional Arabic" w:cs="Traditional Arabic"/>
          <w:sz w:val="28"/>
          <w:szCs w:val="28"/>
          <w:rtl/>
        </w:rPr>
        <w:t xml:space="preserve"> م. ع. ا. م., &amp; محمود عبد الله محمود. </w:t>
      </w:r>
      <w:r w:rsidRPr="001040AB">
        <w:rPr>
          <w:rFonts w:ascii="Traditional Arabic" w:hAnsi="Traditional Arabic" w:cs="Traditional Arabic"/>
          <w:b/>
          <w:bCs/>
          <w:sz w:val="28"/>
          <w:szCs w:val="28"/>
          <w:rtl/>
        </w:rPr>
        <w:t>قتل الجماعة بالواحد عند الحنابلة: دراسة فقهیة مقارنة</w:t>
      </w:r>
      <w:r w:rsidRPr="001040AB">
        <w:rPr>
          <w:rFonts w:ascii="Traditional Arabic" w:hAnsi="Traditional Arabic" w:cs="Traditional Arabic"/>
          <w:sz w:val="28"/>
          <w:szCs w:val="28"/>
          <w:rtl/>
        </w:rPr>
        <w:t xml:space="preserve">. مجلة الدراسات الإسلامیة والبحوث الأکادیمیة، العدد  ( ٩٠)، ٢٠١٨م،  </w:t>
      </w:r>
      <w:r>
        <w:rPr>
          <w:rFonts w:ascii="Traditional Arabic" w:hAnsi="Traditional Arabic" w:cs="Traditional Arabic" w:hint="cs"/>
          <w:sz w:val="28"/>
          <w:szCs w:val="28"/>
          <w:rtl/>
        </w:rPr>
        <w:t>ص95</w:t>
      </w:r>
    </w:p>
  </w:footnote>
  <w:footnote w:id="50">
    <w:p w14:paraId="02561220" w14:textId="77777777" w:rsidR="00632BF0" w:rsidRDefault="00632BF0" w:rsidP="00632BF0">
      <w:pPr>
        <w:pStyle w:val="FootnoteText"/>
        <w:rPr>
          <w:lang w:bidi="ar-EG"/>
        </w:rPr>
      </w:pPr>
      <w:r w:rsidRPr="009075F0">
        <w:rPr>
          <w:rStyle w:val="FootnoteReference"/>
          <w:rFonts w:ascii="Traditional Arabic" w:hAnsi="Traditional Arabic" w:cs="Traditional Arabic"/>
          <w:sz w:val="28"/>
          <w:szCs w:val="28"/>
        </w:rPr>
        <w:footnoteRef/>
      </w:r>
      <w:r w:rsidRPr="009075F0">
        <w:rPr>
          <w:rFonts w:ascii="Traditional Arabic" w:hAnsi="Traditional Arabic" w:cs="Traditional Arabic"/>
          <w:sz w:val="28"/>
          <w:szCs w:val="28"/>
          <w:rtl/>
        </w:rPr>
        <w:t xml:space="preserve"> سورة المائدة، آية رقم 34</w:t>
      </w:r>
    </w:p>
  </w:footnote>
  <w:footnote w:id="51">
    <w:p w14:paraId="3B01F8EB" w14:textId="77777777" w:rsidR="00632BF0" w:rsidRPr="00BB2B62" w:rsidRDefault="00632BF0" w:rsidP="00632BF0">
      <w:pPr>
        <w:pStyle w:val="FootnoteText"/>
        <w:jc w:val="both"/>
        <w:rPr>
          <w:rFonts w:ascii="Traditional Arabic" w:hAnsi="Traditional Arabic" w:cs="Traditional Arabic"/>
          <w:sz w:val="28"/>
          <w:szCs w:val="28"/>
          <w:rtl/>
          <w:lang w:bidi="ar-EG"/>
        </w:rPr>
      </w:pPr>
      <w:r w:rsidRPr="00BB2B62">
        <w:rPr>
          <w:rStyle w:val="FootnoteReference"/>
          <w:rFonts w:ascii="Traditional Arabic" w:hAnsi="Traditional Arabic" w:cs="Traditional Arabic"/>
          <w:sz w:val="28"/>
          <w:szCs w:val="28"/>
        </w:rPr>
        <w:footnoteRef/>
      </w:r>
      <w:r w:rsidRPr="00BB2B62">
        <w:rPr>
          <w:rFonts w:ascii="Traditional Arabic" w:hAnsi="Traditional Arabic" w:cs="Traditional Arabic"/>
          <w:sz w:val="28"/>
          <w:szCs w:val="28"/>
          <w:rtl/>
        </w:rPr>
        <w:t xml:space="preserve"> بولحية، مصطفي، </w:t>
      </w:r>
      <w:r w:rsidRPr="00BB2B62">
        <w:rPr>
          <w:rFonts w:ascii="Traditional Arabic" w:hAnsi="Traditional Arabic" w:cs="Traditional Arabic"/>
          <w:b/>
          <w:bCs/>
          <w:sz w:val="28"/>
          <w:szCs w:val="28"/>
          <w:rtl/>
        </w:rPr>
        <w:t>جريمة التخريب العمدي للعقار بين الفقة الإسلامي والقانون الجزائري</w:t>
      </w:r>
      <w:r w:rsidRPr="00BB2B62">
        <w:rPr>
          <w:rFonts w:ascii="Traditional Arabic" w:hAnsi="Traditional Arabic" w:cs="Traditional Arabic"/>
          <w:sz w:val="28"/>
          <w:szCs w:val="28"/>
          <w:rtl/>
        </w:rPr>
        <w:t>، رسالة دكتوراة منشورة، جامعة أحمد دراية، الجزائر، 2019م</w:t>
      </w:r>
      <w:r w:rsidRPr="00BB2B62">
        <w:rPr>
          <w:rFonts w:ascii="Traditional Arabic" w:hAnsi="Traditional Arabic" w:cs="Traditional Arabic"/>
          <w:sz w:val="28"/>
          <w:szCs w:val="28"/>
          <w:rtl/>
          <w:lang w:bidi="ar-EG"/>
        </w:rPr>
        <w:t>، ص85</w:t>
      </w:r>
    </w:p>
  </w:footnote>
  <w:footnote w:id="52">
    <w:p w14:paraId="55B7180E" w14:textId="77777777" w:rsidR="00632BF0" w:rsidRPr="00CD389F" w:rsidRDefault="00632BF0" w:rsidP="00632BF0">
      <w:pPr>
        <w:pStyle w:val="FootnoteText"/>
        <w:rPr>
          <w:rFonts w:ascii="Traditional Arabic" w:hAnsi="Traditional Arabic" w:cs="Traditional Arabic"/>
          <w:sz w:val="28"/>
          <w:szCs w:val="28"/>
          <w:lang w:bidi="ar-EG"/>
        </w:rPr>
      </w:pPr>
      <w:r w:rsidRPr="00CD389F">
        <w:rPr>
          <w:rStyle w:val="FootnoteReference"/>
          <w:rFonts w:ascii="Traditional Arabic" w:hAnsi="Traditional Arabic" w:cs="Traditional Arabic"/>
          <w:sz w:val="28"/>
          <w:szCs w:val="28"/>
        </w:rPr>
        <w:footnoteRef/>
      </w:r>
      <w:r w:rsidRPr="00CD389F">
        <w:rPr>
          <w:rFonts w:ascii="Traditional Arabic" w:hAnsi="Traditional Arabic" w:cs="Traditional Arabic"/>
          <w:sz w:val="28"/>
          <w:szCs w:val="28"/>
          <w:rtl/>
        </w:rPr>
        <w:t xml:space="preserve"> </w:t>
      </w:r>
      <w:r w:rsidRPr="00CD389F">
        <w:rPr>
          <w:rFonts w:ascii="Traditional Arabic" w:hAnsi="Traditional Arabic" w:cs="Traditional Arabic"/>
          <w:sz w:val="28"/>
          <w:szCs w:val="28"/>
          <w:rtl/>
          <w:lang w:bidi="ar-EG"/>
        </w:rPr>
        <w:t>سورة المائدة، آية رقم 33</w:t>
      </w:r>
    </w:p>
  </w:footnote>
  <w:footnote w:id="53">
    <w:p w14:paraId="6C22A2E8" w14:textId="77777777" w:rsidR="00632BF0" w:rsidRPr="00ED614D" w:rsidRDefault="00632BF0" w:rsidP="00632BF0">
      <w:pPr>
        <w:pStyle w:val="FootnoteText"/>
        <w:jc w:val="both"/>
        <w:rPr>
          <w:rFonts w:ascii="Traditional Arabic" w:hAnsi="Traditional Arabic" w:cs="Traditional Arabic"/>
          <w:sz w:val="28"/>
          <w:szCs w:val="28"/>
          <w:rtl/>
          <w:lang w:bidi="ar-EG"/>
        </w:rPr>
      </w:pPr>
      <w:r w:rsidRPr="00ED614D">
        <w:rPr>
          <w:rStyle w:val="FootnoteReference"/>
          <w:rFonts w:ascii="Traditional Arabic" w:hAnsi="Traditional Arabic" w:cs="Traditional Arabic"/>
          <w:sz w:val="28"/>
          <w:szCs w:val="28"/>
        </w:rPr>
        <w:footnoteRef/>
      </w:r>
      <w:r w:rsidRPr="00ED614D">
        <w:rPr>
          <w:rFonts w:ascii="Traditional Arabic" w:hAnsi="Traditional Arabic" w:cs="Traditional Arabic"/>
          <w:sz w:val="28"/>
          <w:szCs w:val="28"/>
          <w:rtl/>
        </w:rPr>
        <w:t xml:space="preserve"> االزمخشري، جار الله أبي القاسم محمود بن عمر</w:t>
      </w:r>
      <w:r w:rsidRPr="00ED614D">
        <w:rPr>
          <w:rFonts w:ascii="Traditional Arabic" w:hAnsi="Traditional Arabic" w:cs="Traditional Arabic"/>
          <w:sz w:val="28"/>
          <w:szCs w:val="28"/>
          <w:rtl/>
          <w:lang w:bidi="ar-EG"/>
        </w:rPr>
        <w:t xml:space="preserve">، </w:t>
      </w:r>
      <w:r w:rsidRPr="00ED614D">
        <w:rPr>
          <w:rFonts w:ascii="Traditional Arabic" w:hAnsi="Traditional Arabic" w:cs="Traditional Arabic"/>
          <w:b/>
          <w:bCs/>
          <w:sz w:val="28"/>
          <w:szCs w:val="28"/>
          <w:rtl/>
          <w:lang w:bidi="ar-EG"/>
        </w:rPr>
        <w:t>أساس البلاغة</w:t>
      </w:r>
      <w:r w:rsidRPr="00ED614D">
        <w:rPr>
          <w:rFonts w:ascii="Traditional Arabic" w:hAnsi="Traditional Arabic" w:cs="Traditional Arabic"/>
          <w:sz w:val="28"/>
          <w:szCs w:val="28"/>
          <w:rtl/>
          <w:lang w:bidi="ar-EG"/>
        </w:rPr>
        <w:t xml:space="preserve">، </w:t>
      </w:r>
      <w:r w:rsidRPr="00ED614D">
        <w:rPr>
          <w:rFonts w:ascii="Traditional Arabic" w:hAnsi="Traditional Arabic" w:cs="Traditional Arabic"/>
          <w:sz w:val="28"/>
          <w:szCs w:val="28"/>
          <w:rtl/>
        </w:rPr>
        <w:t>(ت538) تحقيق الأستاذ عبدالرحيم محمود, دار المعرفة. بيروت، 1987م،</w:t>
      </w:r>
      <w:r w:rsidRPr="00ED614D">
        <w:rPr>
          <w:rFonts w:ascii="Traditional Arabic" w:hAnsi="Traditional Arabic" w:cs="Traditional Arabic"/>
          <w:sz w:val="28"/>
          <w:szCs w:val="28"/>
        </w:rPr>
        <w:t xml:space="preserve"> </w:t>
      </w:r>
      <w:r w:rsidRPr="00ED614D">
        <w:rPr>
          <w:rFonts w:ascii="Traditional Arabic" w:hAnsi="Traditional Arabic" w:cs="Traditional Arabic"/>
          <w:sz w:val="28"/>
          <w:szCs w:val="28"/>
          <w:rtl/>
          <w:lang w:bidi="ar-EG"/>
        </w:rPr>
        <w:t>ص95</w:t>
      </w:r>
    </w:p>
  </w:footnote>
  <w:footnote w:id="54">
    <w:p w14:paraId="07D0859C" w14:textId="77777777" w:rsidR="00632BF0" w:rsidRPr="00ED614D" w:rsidRDefault="00632BF0" w:rsidP="00632BF0">
      <w:pPr>
        <w:pStyle w:val="FootnoteText"/>
        <w:jc w:val="both"/>
        <w:rPr>
          <w:rFonts w:ascii="Traditional Arabic" w:hAnsi="Traditional Arabic" w:cs="Traditional Arabic"/>
          <w:sz w:val="28"/>
          <w:szCs w:val="28"/>
          <w:rtl/>
          <w:lang w:bidi="ar-EG"/>
        </w:rPr>
      </w:pPr>
      <w:r w:rsidRPr="00ED614D">
        <w:rPr>
          <w:rStyle w:val="FootnoteReference"/>
          <w:rFonts w:ascii="Traditional Arabic" w:hAnsi="Traditional Arabic" w:cs="Traditional Arabic"/>
          <w:sz w:val="28"/>
          <w:szCs w:val="28"/>
        </w:rPr>
        <w:footnoteRef/>
      </w:r>
      <w:r w:rsidRPr="00ED614D">
        <w:rPr>
          <w:rFonts w:ascii="Traditional Arabic" w:hAnsi="Traditional Arabic" w:cs="Traditional Arabic"/>
          <w:sz w:val="28"/>
          <w:szCs w:val="28"/>
          <w:rtl/>
        </w:rPr>
        <w:t xml:space="preserve"> </w:t>
      </w:r>
      <w:r w:rsidRPr="00ED614D">
        <w:rPr>
          <w:rFonts w:ascii="Traditional Arabic" w:hAnsi="Traditional Arabic" w:cs="Traditional Arabic"/>
          <w:sz w:val="28"/>
          <w:szCs w:val="28"/>
          <w:rtl/>
          <w:lang w:bidi="ar-EG"/>
        </w:rPr>
        <w:t xml:space="preserve">مجد الدين محمد بن يعقوب الفيروز آبادي، </w:t>
      </w:r>
      <w:r w:rsidRPr="00ED614D">
        <w:rPr>
          <w:rFonts w:ascii="Traditional Arabic" w:hAnsi="Traditional Arabic" w:cs="Traditional Arabic"/>
          <w:b/>
          <w:bCs/>
          <w:sz w:val="28"/>
          <w:szCs w:val="28"/>
          <w:rtl/>
        </w:rPr>
        <w:t>القاموس المحـيط</w:t>
      </w:r>
      <w:r w:rsidRPr="00ED614D">
        <w:rPr>
          <w:rFonts w:ascii="Traditional Arabic" w:hAnsi="Traditional Arabic" w:cs="Traditional Arabic"/>
          <w:sz w:val="28"/>
          <w:szCs w:val="28"/>
          <w:rtl/>
        </w:rPr>
        <w:t>، (مـصر: مطبعـة البـابي الحلـبي، ط</w:t>
      </w:r>
      <w:r w:rsidRPr="00ED614D">
        <w:rPr>
          <w:rFonts w:ascii="Traditional Arabic" w:hAnsi="Traditional Arabic" w:cs="Traditional Arabic"/>
          <w:sz w:val="28"/>
          <w:szCs w:val="28"/>
        </w:rPr>
        <w:t>2</w:t>
      </w:r>
      <w:r w:rsidRPr="00ED614D">
        <w:rPr>
          <w:rFonts w:ascii="Traditional Arabic" w:hAnsi="Traditional Arabic" w:cs="Traditional Arabic"/>
          <w:sz w:val="28"/>
          <w:szCs w:val="28"/>
          <w:rtl/>
        </w:rPr>
        <w:t xml:space="preserve"> ،</w:t>
      </w:r>
      <w:r w:rsidRPr="00ED614D">
        <w:rPr>
          <w:rFonts w:ascii="Traditional Arabic" w:hAnsi="Traditional Arabic" w:cs="Traditional Arabic"/>
          <w:sz w:val="28"/>
          <w:szCs w:val="28"/>
        </w:rPr>
        <w:t>1371</w:t>
      </w:r>
      <w:r w:rsidRPr="00ED614D">
        <w:rPr>
          <w:rFonts w:ascii="Traditional Arabic" w:hAnsi="Traditional Arabic" w:cs="Traditional Arabic"/>
          <w:sz w:val="28"/>
          <w:szCs w:val="28"/>
          <w:rtl/>
        </w:rPr>
        <w:t>ه)، ج</w:t>
      </w:r>
      <w:r w:rsidRPr="00ED614D">
        <w:rPr>
          <w:rFonts w:ascii="Traditional Arabic" w:hAnsi="Traditional Arabic" w:cs="Traditional Arabic"/>
          <w:sz w:val="28"/>
          <w:szCs w:val="28"/>
        </w:rPr>
        <w:t>2</w:t>
      </w:r>
      <w:r w:rsidRPr="00ED614D">
        <w:rPr>
          <w:rFonts w:ascii="Traditional Arabic" w:hAnsi="Traditional Arabic" w:cs="Traditional Arabic"/>
          <w:sz w:val="28"/>
          <w:szCs w:val="28"/>
          <w:rtl/>
        </w:rPr>
        <w:t>، ص</w:t>
      </w:r>
      <w:r w:rsidRPr="00ED614D">
        <w:rPr>
          <w:rFonts w:ascii="Traditional Arabic" w:hAnsi="Traditional Arabic" w:cs="Traditional Arabic"/>
          <w:sz w:val="28"/>
          <w:szCs w:val="28"/>
        </w:rPr>
        <w:t>327</w:t>
      </w:r>
      <w:r w:rsidRPr="00ED614D">
        <w:rPr>
          <w:rFonts w:ascii="Traditional Arabic" w:hAnsi="Traditional Arabic" w:cs="Traditional Arabic"/>
          <w:sz w:val="28"/>
          <w:szCs w:val="28"/>
          <w:rtl/>
        </w:rPr>
        <w:t xml:space="preserve">؛ ابـن فـارس، أحمد بن فارس بن زكرياء القزويني الرازي، </w:t>
      </w:r>
      <w:r w:rsidRPr="00ED614D">
        <w:rPr>
          <w:rFonts w:ascii="Traditional Arabic" w:hAnsi="Traditional Arabic" w:cs="Traditional Arabic"/>
          <w:b/>
          <w:bCs/>
          <w:sz w:val="28"/>
          <w:szCs w:val="28"/>
          <w:rtl/>
        </w:rPr>
        <w:t>مقاييس اللغة</w:t>
      </w:r>
      <w:r w:rsidRPr="00ED614D">
        <w:rPr>
          <w:rFonts w:ascii="Traditional Arabic" w:hAnsi="Traditional Arabic" w:cs="Traditional Arabic"/>
          <w:sz w:val="28"/>
          <w:szCs w:val="28"/>
          <w:rtl/>
        </w:rPr>
        <w:t>، تحقيق عبد الـسلام هـارون، (مـصر: مطبعـة البـابي الحلـبي، ط</w:t>
      </w:r>
      <w:r w:rsidRPr="00ED614D">
        <w:rPr>
          <w:rFonts w:ascii="Traditional Arabic" w:hAnsi="Traditional Arabic" w:cs="Traditional Arabic"/>
          <w:sz w:val="28"/>
          <w:szCs w:val="28"/>
        </w:rPr>
        <w:t>2</w:t>
      </w:r>
      <w:r w:rsidRPr="00ED614D">
        <w:rPr>
          <w:rFonts w:ascii="Traditional Arabic" w:hAnsi="Traditional Arabic" w:cs="Traditional Arabic"/>
          <w:sz w:val="28"/>
          <w:szCs w:val="28"/>
          <w:rtl/>
        </w:rPr>
        <w:t xml:space="preserve">، </w:t>
      </w:r>
      <w:r w:rsidRPr="00ED614D">
        <w:rPr>
          <w:rFonts w:ascii="Traditional Arabic" w:hAnsi="Traditional Arabic" w:cs="Traditional Arabic"/>
          <w:sz w:val="28"/>
          <w:szCs w:val="28"/>
        </w:rPr>
        <w:t>1392</w:t>
      </w:r>
      <w:r w:rsidRPr="00ED614D">
        <w:rPr>
          <w:rFonts w:ascii="Traditional Arabic" w:hAnsi="Traditional Arabic" w:cs="Traditional Arabic"/>
          <w:sz w:val="28"/>
          <w:szCs w:val="28"/>
          <w:rtl/>
        </w:rPr>
        <w:t>هـ)،ج</w:t>
      </w:r>
      <w:r w:rsidRPr="00ED614D">
        <w:rPr>
          <w:rFonts w:ascii="Traditional Arabic" w:hAnsi="Traditional Arabic" w:cs="Traditional Arabic"/>
          <w:sz w:val="28"/>
          <w:szCs w:val="28"/>
        </w:rPr>
        <w:t>5</w:t>
      </w:r>
      <w:r w:rsidRPr="00ED614D">
        <w:rPr>
          <w:rFonts w:ascii="Traditional Arabic" w:hAnsi="Traditional Arabic" w:cs="Traditional Arabic"/>
          <w:sz w:val="28"/>
          <w:szCs w:val="28"/>
          <w:rtl/>
          <w:lang w:bidi="ar-EG"/>
        </w:rPr>
        <w:t>، ص123</w:t>
      </w:r>
    </w:p>
  </w:footnote>
  <w:footnote w:id="55">
    <w:p w14:paraId="65A277BA" w14:textId="77777777" w:rsidR="00632BF0" w:rsidRPr="00D87444" w:rsidRDefault="00632BF0" w:rsidP="00632BF0">
      <w:pPr>
        <w:pStyle w:val="FootnoteText"/>
        <w:jc w:val="both"/>
        <w:rPr>
          <w:rFonts w:ascii="Traditional Arabic" w:hAnsi="Traditional Arabic" w:cs="Traditional Arabic"/>
          <w:sz w:val="28"/>
          <w:szCs w:val="28"/>
          <w:rtl/>
          <w:lang w:bidi="ar-EG"/>
        </w:rPr>
      </w:pPr>
      <w:r>
        <w:rPr>
          <w:rStyle w:val="FootnoteReference"/>
        </w:rPr>
        <w:footnoteRef/>
      </w:r>
      <w:r>
        <w:rPr>
          <w:rtl/>
        </w:rPr>
        <w:t xml:space="preserve"> </w:t>
      </w:r>
      <w:r w:rsidRPr="00D87444">
        <w:rPr>
          <w:rFonts w:ascii="Traditional Arabic" w:hAnsi="Traditional Arabic" w:cs="Traditional Arabic"/>
          <w:sz w:val="28"/>
          <w:szCs w:val="28"/>
          <w:rtl/>
        </w:rPr>
        <w:t xml:space="preserve">ابن عطاء الله الإسكندري وصلاح عبد التواب سعداوي. </w:t>
      </w:r>
      <w:r w:rsidRPr="00D87444">
        <w:rPr>
          <w:rFonts w:ascii="Traditional Arabic" w:hAnsi="Traditional Arabic" w:cs="Traditional Arabic"/>
          <w:b/>
          <w:bCs/>
          <w:sz w:val="28"/>
          <w:szCs w:val="28"/>
          <w:rtl/>
        </w:rPr>
        <w:t>الحكم العطائية</w:t>
      </w:r>
      <w:r w:rsidRPr="00D87444">
        <w:rPr>
          <w:rFonts w:ascii="Traditional Arabic" w:hAnsi="Traditional Arabic" w:cs="Traditional Arabic"/>
          <w:sz w:val="28"/>
          <w:szCs w:val="28"/>
          <w:rtl/>
        </w:rPr>
        <w:t>. دار الفضيلة للنشر والتوزيع.، ١٩٨٨م، ص٩</w:t>
      </w:r>
      <w:r>
        <w:rPr>
          <w:rFonts w:ascii="Traditional Arabic" w:hAnsi="Traditional Arabic" w:cs="Traditional Arabic" w:hint="cs"/>
          <w:sz w:val="28"/>
          <w:szCs w:val="28"/>
          <w:rtl/>
          <w:lang w:bidi="ar-EG"/>
        </w:rPr>
        <w:t>9</w:t>
      </w:r>
    </w:p>
  </w:footnote>
  <w:footnote w:id="56">
    <w:p w14:paraId="24D81468" w14:textId="77777777" w:rsidR="00632BF0" w:rsidRPr="00ED614D" w:rsidRDefault="00632BF0" w:rsidP="00632BF0">
      <w:pPr>
        <w:pStyle w:val="FootnoteText"/>
        <w:jc w:val="both"/>
        <w:rPr>
          <w:rFonts w:ascii="Traditional Arabic" w:hAnsi="Traditional Arabic" w:cs="Traditional Arabic"/>
          <w:sz w:val="28"/>
          <w:szCs w:val="28"/>
        </w:rPr>
      </w:pPr>
      <w:r w:rsidRPr="00ED614D">
        <w:rPr>
          <w:rStyle w:val="FootnoteReference"/>
          <w:rFonts w:ascii="Traditional Arabic" w:hAnsi="Traditional Arabic" w:cs="Traditional Arabic"/>
          <w:sz w:val="28"/>
          <w:szCs w:val="28"/>
        </w:rPr>
        <w:footnoteRef/>
      </w:r>
      <w:r w:rsidRPr="00ED614D">
        <w:rPr>
          <w:rFonts w:ascii="Traditional Arabic" w:hAnsi="Traditional Arabic" w:cs="Traditional Arabic"/>
          <w:sz w:val="28"/>
          <w:szCs w:val="28"/>
          <w:rtl/>
        </w:rPr>
        <w:t xml:space="preserve"> بخير، سديد، </w:t>
      </w:r>
      <w:r w:rsidRPr="00ED614D">
        <w:rPr>
          <w:rFonts w:ascii="Traditional Arabic" w:hAnsi="Traditional Arabic" w:cs="Traditional Arabic"/>
          <w:b/>
          <w:bCs/>
          <w:sz w:val="28"/>
          <w:szCs w:val="28"/>
          <w:rtl/>
        </w:rPr>
        <w:t>الحماية الحنائية لحرمة الأنبياء دراسة مقارنة بين الشريعة والقانون في ضوء حرية الرأي والتعبير</w:t>
      </w:r>
      <w:r w:rsidRPr="00ED614D">
        <w:rPr>
          <w:rFonts w:ascii="Traditional Arabic" w:hAnsi="Traditional Arabic" w:cs="Traditional Arabic"/>
          <w:sz w:val="28"/>
          <w:szCs w:val="28"/>
          <w:rtl/>
        </w:rPr>
        <w:t>، رسالة دكتوراة منشورة، جامعة الحاج الأخضر باتنة، الجزائر، 2020م، ص125</w:t>
      </w:r>
    </w:p>
  </w:footnote>
  <w:footnote w:id="57">
    <w:p w14:paraId="10939A99" w14:textId="77777777" w:rsidR="00632BF0" w:rsidRPr="00ED614D" w:rsidRDefault="00632BF0" w:rsidP="00632BF0">
      <w:pPr>
        <w:pStyle w:val="FootnoteText"/>
        <w:rPr>
          <w:rFonts w:ascii="Traditional Arabic" w:hAnsi="Traditional Arabic" w:cs="Traditional Arabic"/>
          <w:sz w:val="28"/>
          <w:szCs w:val="28"/>
          <w:lang w:bidi="ar-EG"/>
        </w:rPr>
      </w:pPr>
      <w:r w:rsidRPr="00ED614D">
        <w:rPr>
          <w:rStyle w:val="FootnoteReference"/>
          <w:rFonts w:ascii="Traditional Arabic" w:hAnsi="Traditional Arabic" w:cs="Traditional Arabic"/>
          <w:sz w:val="28"/>
          <w:szCs w:val="28"/>
        </w:rPr>
        <w:footnoteRef/>
      </w:r>
      <w:r w:rsidRPr="00ED614D">
        <w:rPr>
          <w:rFonts w:ascii="Traditional Arabic" w:hAnsi="Traditional Arabic" w:cs="Traditional Arabic"/>
          <w:sz w:val="28"/>
          <w:szCs w:val="28"/>
          <w:rtl/>
        </w:rPr>
        <w:t xml:space="preserve"> </w:t>
      </w:r>
      <w:r w:rsidRPr="00ED614D">
        <w:rPr>
          <w:rFonts w:ascii="Traditional Arabic" w:hAnsi="Traditional Arabic" w:cs="Traditional Arabic"/>
          <w:sz w:val="28"/>
          <w:szCs w:val="28"/>
          <w:rtl/>
          <w:lang w:bidi="ar-EG"/>
        </w:rPr>
        <w:t>رواة الإمام البخاري في صحيحه</w:t>
      </w:r>
    </w:p>
  </w:footnote>
  <w:footnote w:id="58">
    <w:p w14:paraId="099E97A2" w14:textId="77777777" w:rsidR="00632BF0" w:rsidRPr="00ED614D" w:rsidRDefault="00632BF0" w:rsidP="00632BF0">
      <w:pPr>
        <w:pStyle w:val="FootnoteText"/>
        <w:rPr>
          <w:rFonts w:ascii="Traditional Arabic" w:hAnsi="Traditional Arabic" w:cs="Traditional Arabic"/>
          <w:sz w:val="28"/>
          <w:szCs w:val="28"/>
          <w:lang w:bidi="ar-EG"/>
        </w:rPr>
      </w:pPr>
      <w:r w:rsidRPr="00ED614D">
        <w:rPr>
          <w:rStyle w:val="FootnoteReference"/>
          <w:rFonts w:ascii="Traditional Arabic" w:hAnsi="Traditional Arabic" w:cs="Traditional Arabic"/>
          <w:sz w:val="28"/>
          <w:szCs w:val="28"/>
        </w:rPr>
        <w:footnoteRef/>
      </w:r>
      <w:r w:rsidRPr="00ED614D">
        <w:rPr>
          <w:rFonts w:ascii="Traditional Arabic" w:hAnsi="Traditional Arabic" w:cs="Traditional Arabic"/>
          <w:sz w:val="28"/>
          <w:szCs w:val="28"/>
          <w:rtl/>
        </w:rPr>
        <w:t xml:space="preserve"> </w:t>
      </w:r>
      <w:r w:rsidRPr="00ED614D">
        <w:rPr>
          <w:rFonts w:ascii="Traditional Arabic" w:hAnsi="Traditional Arabic" w:cs="Traditional Arabic"/>
          <w:sz w:val="28"/>
          <w:szCs w:val="28"/>
          <w:rtl/>
          <w:lang w:bidi="ar-EG"/>
        </w:rPr>
        <w:t>سورة البقرة، أية رقم 256</w:t>
      </w:r>
    </w:p>
  </w:footnote>
  <w:footnote w:id="59">
    <w:p w14:paraId="242BD03C" w14:textId="77777777" w:rsidR="00632BF0" w:rsidRDefault="00632BF0" w:rsidP="00632BF0">
      <w:pPr>
        <w:pStyle w:val="FootnoteText"/>
        <w:rPr>
          <w:lang w:bidi="ar-EG"/>
        </w:rPr>
      </w:pPr>
      <w:r w:rsidRPr="00ED614D">
        <w:rPr>
          <w:rStyle w:val="FootnoteReference"/>
          <w:rFonts w:ascii="Traditional Arabic" w:hAnsi="Traditional Arabic" w:cs="Traditional Arabic"/>
          <w:sz w:val="28"/>
          <w:szCs w:val="28"/>
        </w:rPr>
        <w:footnoteRef/>
      </w:r>
      <w:r w:rsidRPr="00ED614D">
        <w:rPr>
          <w:rFonts w:ascii="Traditional Arabic" w:hAnsi="Traditional Arabic" w:cs="Traditional Arabic"/>
          <w:sz w:val="28"/>
          <w:szCs w:val="28"/>
          <w:rtl/>
        </w:rPr>
        <w:t xml:space="preserve"> سورة يونس، آية رقم 99</w:t>
      </w:r>
    </w:p>
  </w:footnote>
  <w:footnote w:id="60">
    <w:p w14:paraId="3FE051FB" w14:textId="77777777" w:rsidR="00632BF0" w:rsidRPr="007C5189" w:rsidRDefault="00632BF0" w:rsidP="00632BF0">
      <w:pPr>
        <w:pStyle w:val="FootnoteText"/>
        <w:jc w:val="both"/>
        <w:rPr>
          <w:rFonts w:ascii="Traditional Arabic" w:hAnsi="Traditional Arabic" w:cs="Traditional Arabic"/>
          <w:sz w:val="28"/>
          <w:szCs w:val="28"/>
          <w:lang w:bidi="ar-EG"/>
        </w:rPr>
      </w:pPr>
      <w:r w:rsidRPr="007C5189">
        <w:rPr>
          <w:rStyle w:val="FootnoteReference"/>
          <w:rFonts w:ascii="Traditional Arabic" w:hAnsi="Traditional Arabic" w:cs="Traditional Arabic"/>
          <w:sz w:val="28"/>
          <w:szCs w:val="28"/>
        </w:rPr>
        <w:footnoteRef/>
      </w:r>
      <w:r w:rsidRPr="007C5189">
        <w:rPr>
          <w:rFonts w:ascii="Traditional Arabic" w:hAnsi="Traditional Arabic" w:cs="Traditional Arabic"/>
          <w:sz w:val="28"/>
          <w:szCs w:val="28"/>
          <w:rtl/>
        </w:rPr>
        <w:t xml:space="preserve"> أخرجه أبو داود (4398)، والنسائي (3432) واللفظ له، وابن ماجه (2041)، وأحمد (24738) قال البخاري كما في ((العلل الكبير)) للترمذي (225): أرجو أن يكون محفوظاً، وصححه ابن العربي في ((عارضة الأحوذي)) (3/392)، وقال ابن كثير في ((إرشاد الفقيه)) (1/89): إسناده على شرط مسلم، وصححه الألباني في ((صحيح سنن النسائي)) (3432).</w:t>
      </w:r>
    </w:p>
  </w:footnote>
  <w:footnote w:id="61">
    <w:p w14:paraId="1BB5EF44" w14:textId="77777777" w:rsidR="00632BF0" w:rsidRPr="007C5189" w:rsidRDefault="00632BF0" w:rsidP="00632BF0">
      <w:pPr>
        <w:pStyle w:val="FootnoteText"/>
        <w:jc w:val="both"/>
        <w:rPr>
          <w:rFonts w:ascii="Traditional Arabic" w:hAnsi="Traditional Arabic" w:cs="Traditional Arabic"/>
          <w:sz w:val="28"/>
          <w:szCs w:val="28"/>
          <w:rtl/>
          <w:lang w:bidi="ar-EG"/>
        </w:rPr>
      </w:pPr>
      <w:r w:rsidRPr="007C5189">
        <w:rPr>
          <w:rStyle w:val="FootnoteReference"/>
          <w:rFonts w:ascii="Traditional Arabic" w:hAnsi="Traditional Arabic" w:cs="Traditional Arabic"/>
          <w:sz w:val="28"/>
          <w:szCs w:val="28"/>
        </w:rPr>
        <w:footnoteRef/>
      </w:r>
      <w:r w:rsidRPr="007C5189">
        <w:rPr>
          <w:rFonts w:ascii="Traditional Arabic" w:hAnsi="Traditional Arabic" w:cs="Traditional Arabic"/>
          <w:sz w:val="28"/>
          <w:szCs w:val="28"/>
          <w:rtl/>
        </w:rPr>
        <w:t xml:space="preserve"> بخير، سديد، </w:t>
      </w:r>
      <w:r w:rsidRPr="007C5189">
        <w:rPr>
          <w:rFonts w:ascii="Traditional Arabic" w:hAnsi="Traditional Arabic" w:cs="Traditional Arabic"/>
          <w:b/>
          <w:bCs/>
          <w:sz w:val="28"/>
          <w:szCs w:val="28"/>
          <w:rtl/>
        </w:rPr>
        <w:t>الحماية الحنائية لحرمة الأنبياء دراسة مقارنة بين الشريعة والقانون في ضوء حرية الرأي والتعبير،</w:t>
      </w:r>
      <w:r w:rsidRPr="007C5189">
        <w:rPr>
          <w:rFonts w:ascii="Traditional Arabic" w:hAnsi="Traditional Arabic" w:cs="Traditional Arabic"/>
          <w:sz w:val="28"/>
          <w:szCs w:val="28"/>
          <w:rtl/>
        </w:rPr>
        <w:t xml:space="preserve"> رسالة دكتوراة منشورة، جامعة الحاج الأخضر باتنة، الجزائر، 2020م</w:t>
      </w:r>
      <w:r w:rsidRPr="007C5189">
        <w:rPr>
          <w:rFonts w:ascii="Traditional Arabic" w:hAnsi="Traditional Arabic" w:cs="Traditional Arabic"/>
          <w:sz w:val="28"/>
          <w:szCs w:val="28"/>
          <w:rtl/>
          <w:lang w:bidi="ar-EG"/>
        </w:rPr>
        <w:t>، ص124</w:t>
      </w:r>
    </w:p>
  </w:footnote>
  <w:footnote w:id="62">
    <w:p w14:paraId="2DA8B874" w14:textId="77777777" w:rsidR="00632BF0" w:rsidRPr="007C5189" w:rsidRDefault="00632BF0" w:rsidP="00632BF0">
      <w:pPr>
        <w:pStyle w:val="FootnoteText"/>
        <w:jc w:val="both"/>
        <w:rPr>
          <w:rFonts w:ascii="Traditional Arabic" w:hAnsi="Traditional Arabic" w:cs="Traditional Arabic"/>
          <w:sz w:val="28"/>
          <w:szCs w:val="28"/>
          <w:rtl/>
          <w:lang w:bidi="ar-EG"/>
        </w:rPr>
      </w:pPr>
      <w:r w:rsidRPr="007C5189">
        <w:rPr>
          <w:rStyle w:val="FootnoteReference"/>
          <w:rFonts w:ascii="Traditional Arabic" w:hAnsi="Traditional Arabic" w:cs="Traditional Arabic"/>
          <w:sz w:val="28"/>
          <w:szCs w:val="28"/>
        </w:rPr>
        <w:footnoteRef/>
      </w:r>
      <w:r w:rsidRPr="007C5189">
        <w:rPr>
          <w:rFonts w:ascii="Traditional Arabic" w:hAnsi="Traditional Arabic" w:cs="Traditional Arabic"/>
          <w:sz w:val="28"/>
          <w:szCs w:val="28"/>
          <w:rtl/>
        </w:rPr>
        <w:t xml:space="preserve"> بن عزة، عبد الرزاق. </w:t>
      </w:r>
      <w:r w:rsidRPr="007C5189">
        <w:rPr>
          <w:rFonts w:ascii="Traditional Arabic" w:hAnsi="Traditional Arabic" w:cs="Traditional Arabic"/>
          <w:b/>
          <w:bCs/>
          <w:sz w:val="28"/>
          <w:szCs w:val="28"/>
          <w:rtl/>
        </w:rPr>
        <w:t>عقوبة الإعدام دراسة مقارنة بين الشريعة الإسلامية والقانون الجنائي الجزائري</w:t>
      </w:r>
      <w:r w:rsidRPr="007C5189">
        <w:rPr>
          <w:rFonts w:ascii="Traditional Arabic" w:hAnsi="Traditional Arabic" w:cs="Traditional Arabic"/>
          <w:sz w:val="28"/>
          <w:szCs w:val="28"/>
          <w:rtl/>
        </w:rPr>
        <w:t>، رسالة ماجستير غير منشورة، جامعة الوادي، الجزائر</w:t>
      </w:r>
      <w:r w:rsidRPr="007C5189">
        <w:rPr>
          <w:rFonts w:ascii="Traditional Arabic" w:hAnsi="Traditional Arabic" w:cs="Traditional Arabic"/>
          <w:sz w:val="28"/>
          <w:szCs w:val="28"/>
          <w:rtl/>
          <w:lang w:bidi="ar-EG"/>
        </w:rPr>
        <w:t>، 2018م، ص64</w:t>
      </w:r>
    </w:p>
  </w:footnote>
  <w:footnote w:id="63">
    <w:p w14:paraId="3CB90F2F" w14:textId="77777777" w:rsidR="00632BF0" w:rsidRDefault="00632BF0" w:rsidP="00632BF0">
      <w:pPr>
        <w:pStyle w:val="FootnoteText"/>
        <w:rPr>
          <w:lang w:bidi="ar-EG"/>
        </w:rPr>
      </w:pPr>
      <w:r>
        <w:rPr>
          <w:rStyle w:val="FootnoteReference"/>
        </w:rPr>
        <w:footnoteRef/>
      </w:r>
      <w:r>
        <w:rPr>
          <w:rtl/>
        </w:rPr>
        <w:t xml:space="preserve"> </w:t>
      </w:r>
      <w:r w:rsidRPr="00EE5192">
        <w:rPr>
          <w:rFonts w:ascii="Traditional Arabic" w:hAnsi="Traditional Arabic" w:cs="Traditional Arabic"/>
          <w:sz w:val="28"/>
          <w:szCs w:val="28"/>
          <w:rtl/>
        </w:rPr>
        <w:t>االزمخشري، جار الله أبي القاسم محمود بن عمر</w:t>
      </w:r>
      <w:r w:rsidRPr="00EE5192">
        <w:rPr>
          <w:rFonts w:ascii="Traditional Arabic" w:hAnsi="Traditional Arabic" w:cs="Traditional Arabic"/>
          <w:sz w:val="28"/>
          <w:szCs w:val="28"/>
          <w:rtl/>
          <w:lang w:bidi="ar-EG"/>
        </w:rPr>
        <w:t xml:space="preserve">، </w:t>
      </w:r>
      <w:r w:rsidRPr="00EE5192">
        <w:rPr>
          <w:rFonts w:ascii="Traditional Arabic" w:hAnsi="Traditional Arabic" w:cs="Traditional Arabic"/>
          <w:b/>
          <w:bCs/>
          <w:sz w:val="28"/>
          <w:szCs w:val="28"/>
          <w:rtl/>
          <w:lang w:bidi="ar-EG"/>
        </w:rPr>
        <w:t>أساس البلاغة</w:t>
      </w:r>
      <w:r w:rsidRPr="00EE5192">
        <w:rPr>
          <w:rFonts w:ascii="Traditional Arabic" w:hAnsi="Traditional Arabic" w:cs="Traditional Arabic"/>
          <w:sz w:val="28"/>
          <w:szCs w:val="28"/>
          <w:rtl/>
          <w:lang w:bidi="ar-EG"/>
        </w:rPr>
        <w:t xml:space="preserve">، </w:t>
      </w:r>
      <w:r w:rsidRPr="00EE5192">
        <w:rPr>
          <w:rFonts w:ascii="Traditional Arabic" w:hAnsi="Traditional Arabic" w:cs="Traditional Arabic"/>
          <w:sz w:val="28"/>
          <w:szCs w:val="28"/>
          <w:rtl/>
        </w:rPr>
        <w:t>(ت538) تحقيق الأستاذ عبدالرحيم محمود, دار المعرفة. بيروت، 1987م،</w:t>
      </w:r>
      <w:r>
        <w:rPr>
          <w:rFonts w:ascii="Traditional Arabic" w:hAnsi="Traditional Arabic" w:cs="Traditional Arabic" w:hint="cs"/>
          <w:sz w:val="28"/>
          <w:szCs w:val="28"/>
          <w:rtl/>
        </w:rPr>
        <w:t xml:space="preserve"> ص66</w:t>
      </w:r>
    </w:p>
  </w:footnote>
  <w:footnote w:id="64">
    <w:p w14:paraId="22885E22" w14:textId="77777777" w:rsidR="00632BF0" w:rsidRPr="007C5189" w:rsidRDefault="00632BF0" w:rsidP="00632BF0">
      <w:pPr>
        <w:pStyle w:val="FootnoteText"/>
        <w:jc w:val="both"/>
        <w:rPr>
          <w:rFonts w:ascii="Traditional Arabic" w:hAnsi="Traditional Arabic" w:cs="Traditional Arabic"/>
          <w:sz w:val="28"/>
          <w:szCs w:val="28"/>
          <w:rtl/>
          <w:lang w:bidi="ar-EG"/>
        </w:rPr>
      </w:pPr>
      <w:r w:rsidRPr="007C5189">
        <w:rPr>
          <w:rStyle w:val="FootnoteReference"/>
          <w:rFonts w:ascii="Traditional Arabic" w:hAnsi="Traditional Arabic" w:cs="Traditional Arabic"/>
          <w:sz w:val="28"/>
          <w:szCs w:val="28"/>
        </w:rPr>
        <w:footnoteRef/>
      </w:r>
      <w:r w:rsidRPr="007C5189">
        <w:rPr>
          <w:rFonts w:ascii="Traditional Arabic" w:hAnsi="Traditional Arabic" w:cs="Traditional Arabic"/>
          <w:sz w:val="28"/>
          <w:szCs w:val="28"/>
          <w:rtl/>
        </w:rPr>
        <w:t xml:space="preserve"> الحيدريج، سيد رقية عبد العباس، </w:t>
      </w:r>
      <w:r w:rsidRPr="007C5189">
        <w:rPr>
          <w:rFonts w:ascii="Traditional Arabic" w:hAnsi="Traditional Arabic" w:cs="Traditional Arabic"/>
          <w:b/>
          <w:bCs/>
          <w:sz w:val="28"/>
          <w:szCs w:val="28"/>
          <w:rtl/>
        </w:rPr>
        <w:t>العقوبات المقرره لتخريب الآثار</w:t>
      </w:r>
      <w:r w:rsidRPr="007C5189">
        <w:rPr>
          <w:rFonts w:ascii="Traditional Arabic" w:hAnsi="Traditional Arabic" w:cs="Traditional Arabic"/>
          <w:sz w:val="28"/>
          <w:szCs w:val="28"/>
          <w:rtl/>
        </w:rPr>
        <w:t>، ورقة بحثية منشورة، مجلة العلوم القانونية، العدد الأول، 2017م.</w:t>
      </w:r>
      <w:r w:rsidRPr="007C5189">
        <w:rPr>
          <w:rFonts w:ascii="Traditional Arabic" w:hAnsi="Traditional Arabic" w:cs="Traditional Arabic"/>
          <w:sz w:val="28"/>
          <w:szCs w:val="28"/>
          <w:rtl/>
          <w:lang w:bidi="ar-EG"/>
        </w:rPr>
        <w:t>، ص75</w:t>
      </w:r>
    </w:p>
  </w:footnote>
  <w:footnote w:id="65">
    <w:p w14:paraId="649012F2" w14:textId="77777777" w:rsidR="00632BF0" w:rsidRPr="002458FA" w:rsidRDefault="00632BF0" w:rsidP="00632BF0">
      <w:pPr>
        <w:pStyle w:val="FootnoteText"/>
        <w:rPr>
          <w:rFonts w:ascii="Traditional Arabic" w:hAnsi="Traditional Arabic" w:cs="Traditional Arabic"/>
          <w:sz w:val="28"/>
          <w:szCs w:val="28"/>
          <w:lang w:bidi="ar-EG"/>
        </w:rPr>
      </w:pPr>
      <w:r w:rsidRPr="002458FA">
        <w:rPr>
          <w:rStyle w:val="FootnoteReference"/>
          <w:rFonts w:ascii="Traditional Arabic" w:hAnsi="Traditional Arabic" w:cs="Traditional Arabic"/>
          <w:sz w:val="28"/>
          <w:szCs w:val="28"/>
        </w:rPr>
        <w:footnoteRef/>
      </w:r>
      <w:r w:rsidRPr="002458FA">
        <w:rPr>
          <w:rFonts w:ascii="Traditional Arabic" w:hAnsi="Traditional Arabic" w:cs="Traditional Arabic"/>
          <w:sz w:val="28"/>
          <w:szCs w:val="28"/>
          <w:rtl/>
        </w:rPr>
        <w:t xml:space="preserve"> سورة الحجرات، آية رقم 9</w:t>
      </w:r>
    </w:p>
  </w:footnote>
  <w:footnote w:id="66">
    <w:p w14:paraId="0633AA87" w14:textId="77777777" w:rsidR="00632BF0" w:rsidRDefault="00632BF0" w:rsidP="00632BF0">
      <w:pPr>
        <w:pStyle w:val="FootnoteText"/>
        <w:jc w:val="both"/>
        <w:rPr>
          <w:lang w:bidi="ar-EG"/>
        </w:rPr>
      </w:pPr>
      <w:r>
        <w:rPr>
          <w:rStyle w:val="FootnoteReference"/>
        </w:rPr>
        <w:footnoteRef/>
      </w:r>
      <w:r>
        <w:rPr>
          <w:rtl/>
        </w:rPr>
        <w:t xml:space="preserve"> </w:t>
      </w:r>
      <w:r w:rsidRPr="00EE5192">
        <w:rPr>
          <w:rFonts w:ascii="Traditional Arabic" w:hAnsi="Traditional Arabic" w:cs="Traditional Arabic"/>
          <w:sz w:val="28"/>
          <w:szCs w:val="28"/>
          <w:rtl/>
        </w:rPr>
        <w:t xml:space="preserve">الزبيدي، السيد محمد مرتضي، </w:t>
      </w:r>
      <w:r w:rsidRPr="00EE5192">
        <w:rPr>
          <w:rFonts w:ascii="Traditional Arabic" w:hAnsi="Traditional Arabic" w:cs="Traditional Arabic"/>
          <w:b/>
          <w:bCs/>
          <w:sz w:val="28"/>
          <w:szCs w:val="28"/>
          <w:rtl/>
        </w:rPr>
        <w:t>تاج العروس من جواهر القاموس</w:t>
      </w:r>
      <w:r w:rsidRPr="00EE5192">
        <w:rPr>
          <w:rFonts w:ascii="Traditional Arabic" w:hAnsi="Traditional Arabic" w:cs="Traditional Arabic"/>
          <w:sz w:val="28"/>
          <w:szCs w:val="28"/>
          <w:rtl/>
        </w:rPr>
        <w:t>، حققه مجموعة من العلماء بإشراف وزارة الإعلام. دولة الكويت، 2001</w:t>
      </w:r>
      <w:r w:rsidRPr="00EE5192">
        <w:rPr>
          <w:rFonts w:ascii="Traditional Arabic" w:hAnsi="Traditional Arabic" w:cs="Traditional Arabic"/>
          <w:sz w:val="28"/>
          <w:szCs w:val="28"/>
          <w:rtl/>
          <w:lang w:bidi="ar-EG"/>
        </w:rPr>
        <w:t>م،</w:t>
      </w:r>
      <w:r>
        <w:rPr>
          <w:rFonts w:ascii="Traditional Arabic" w:hAnsi="Traditional Arabic" w:cs="Traditional Arabic" w:hint="cs"/>
          <w:sz w:val="28"/>
          <w:szCs w:val="28"/>
          <w:rtl/>
          <w:lang w:bidi="ar-EG"/>
        </w:rPr>
        <w:t xml:space="preserve"> ص136</w:t>
      </w:r>
    </w:p>
  </w:footnote>
  <w:footnote w:id="67">
    <w:p w14:paraId="0721C401" w14:textId="77777777" w:rsidR="00632BF0" w:rsidRDefault="00632BF0" w:rsidP="00632BF0">
      <w:pPr>
        <w:pStyle w:val="FootnoteText"/>
        <w:rPr>
          <w:lang w:bidi="ar-EG"/>
        </w:rPr>
      </w:pPr>
      <w:r w:rsidRPr="002458FA">
        <w:rPr>
          <w:rStyle w:val="FootnoteReference"/>
          <w:rFonts w:ascii="Traditional Arabic" w:hAnsi="Traditional Arabic" w:cs="Traditional Arabic"/>
          <w:sz w:val="28"/>
          <w:szCs w:val="28"/>
        </w:rPr>
        <w:footnoteRef/>
      </w:r>
      <w:r w:rsidRPr="002458FA">
        <w:rPr>
          <w:rFonts w:ascii="Traditional Arabic" w:hAnsi="Traditional Arabic" w:cs="Traditional Arabic"/>
          <w:sz w:val="28"/>
          <w:szCs w:val="28"/>
          <w:rtl/>
        </w:rPr>
        <w:t xml:space="preserve"> </w:t>
      </w:r>
      <w:r w:rsidRPr="002458FA">
        <w:rPr>
          <w:rFonts w:ascii="Traditional Arabic" w:hAnsi="Traditional Arabic" w:cs="Traditional Arabic"/>
          <w:sz w:val="28"/>
          <w:szCs w:val="28"/>
          <w:rtl/>
          <w:lang w:bidi="ar-EG"/>
        </w:rPr>
        <w:t>سورة الشوري، آية رقم 40</w:t>
      </w:r>
    </w:p>
  </w:footnote>
  <w:footnote w:id="68">
    <w:p w14:paraId="35690E5D" w14:textId="77777777" w:rsidR="00632BF0" w:rsidRDefault="00632BF0" w:rsidP="00632BF0">
      <w:pPr>
        <w:pStyle w:val="FootnoteText"/>
      </w:pPr>
      <w:r>
        <w:rPr>
          <w:rStyle w:val="FootnoteReference"/>
        </w:rPr>
        <w:footnoteRef/>
      </w:r>
      <w:r>
        <w:rPr>
          <w:rtl/>
        </w:rPr>
        <w:t xml:space="preserve"> </w:t>
      </w:r>
      <w:r w:rsidRPr="001040AB">
        <w:rPr>
          <w:rFonts w:ascii="Traditional Arabic" w:hAnsi="Traditional Arabic" w:cs="Traditional Arabic"/>
          <w:sz w:val="28"/>
          <w:szCs w:val="28"/>
          <w:rtl/>
        </w:rPr>
        <w:t xml:space="preserve">أزهري، محمد. </w:t>
      </w:r>
      <w:r w:rsidRPr="001040AB">
        <w:rPr>
          <w:rFonts w:ascii="Traditional Arabic" w:hAnsi="Traditional Arabic" w:cs="Traditional Arabic"/>
          <w:b/>
          <w:bCs/>
          <w:sz w:val="28"/>
          <w:szCs w:val="28"/>
          <w:rtl/>
        </w:rPr>
        <w:t>تحليل المسائل التي يفتي عليها فقهاء الشافعية بالقول القديم</w:t>
      </w:r>
      <w:r w:rsidRPr="001040AB">
        <w:rPr>
          <w:rFonts w:ascii="Traditional Arabic" w:hAnsi="Traditional Arabic" w:cs="Traditional Arabic"/>
          <w:sz w:val="28"/>
          <w:szCs w:val="28"/>
          <w:rtl/>
        </w:rPr>
        <w:t>، رسالة دكتوراة، جامعة مولانا مالك ابراهيم، ٢٠١٩م، ص</w:t>
      </w:r>
      <w:r>
        <w:rPr>
          <w:rFonts w:ascii="Traditional Arabic" w:hAnsi="Traditional Arabic" w:cs="Traditional Arabic"/>
          <w:sz w:val="28"/>
          <w:szCs w:val="28"/>
        </w:rPr>
        <w:t>55</w:t>
      </w:r>
    </w:p>
  </w:footnote>
  <w:footnote w:id="69">
    <w:p w14:paraId="1A58E1E0" w14:textId="77777777" w:rsidR="00632BF0" w:rsidRPr="003E73BE" w:rsidRDefault="00632BF0" w:rsidP="00632BF0">
      <w:pPr>
        <w:pStyle w:val="FootnoteText"/>
        <w:rPr>
          <w:rFonts w:ascii="Traditional Arabic" w:hAnsi="Traditional Arabic" w:cs="Traditional Arabic"/>
          <w:sz w:val="28"/>
          <w:szCs w:val="28"/>
          <w:lang w:bidi="ar-EG"/>
        </w:rPr>
      </w:pPr>
      <w:r w:rsidRPr="003E73BE">
        <w:rPr>
          <w:rStyle w:val="FootnoteReference"/>
          <w:rFonts w:ascii="Traditional Arabic" w:hAnsi="Traditional Arabic" w:cs="Traditional Arabic"/>
          <w:sz w:val="28"/>
          <w:szCs w:val="28"/>
        </w:rPr>
        <w:footnoteRef/>
      </w:r>
      <w:r w:rsidRPr="003E73BE">
        <w:rPr>
          <w:rFonts w:ascii="Traditional Arabic" w:hAnsi="Traditional Arabic" w:cs="Traditional Arabic"/>
          <w:sz w:val="28"/>
          <w:szCs w:val="28"/>
          <w:rtl/>
        </w:rPr>
        <w:t xml:space="preserve"> </w:t>
      </w:r>
      <w:r w:rsidRPr="003E73BE">
        <w:rPr>
          <w:rFonts w:ascii="Traditional Arabic" w:hAnsi="Traditional Arabic" w:cs="Traditional Arabic"/>
          <w:sz w:val="28"/>
          <w:szCs w:val="28"/>
          <w:rtl/>
          <w:lang w:bidi="ar-EG"/>
        </w:rPr>
        <w:t>سورة الأسراء، آية رقم 33</w:t>
      </w:r>
    </w:p>
  </w:footnote>
  <w:footnote w:id="70">
    <w:p w14:paraId="5EDE0AEA" w14:textId="77777777" w:rsidR="00632BF0" w:rsidRDefault="00632BF0" w:rsidP="00632BF0">
      <w:pPr>
        <w:pStyle w:val="FootnoteText"/>
        <w:rPr>
          <w:lang w:bidi="ar-EG"/>
        </w:rPr>
      </w:pPr>
      <w:r w:rsidRPr="003E73BE">
        <w:rPr>
          <w:rStyle w:val="FootnoteReference"/>
          <w:rFonts w:ascii="Traditional Arabic" w:hAnsi="Traditional Arabic" w:cs="Traditional Arabic"/>
          <w:sz w:val="28"/>
          <w:szCs w:val="28"/>
        </w:rPr>
        <w:footnoteRef/>
      </w:r>
      <w:r w:rsidRPr="003E73BE">
        <w:rPr>
          <w:rFonts w:ascii="Traditional Arabic" w:hAnsi="Traditional Arabic" w:cs="Traditional Arabic"/>
          <w:sz w:val="28"/>
          <w:szCs w:val="28"/>
          <w:rtl/>
        </w:rPr>
        <w:t xml:space="preserve"> حديث صحيح منفق عليه</w:t>
      </w:r>
    </w:p>
  </w:footnote>
  <w:footnote w:id="71">
    <w:p w14:paraId="0755AA39" w14:textId="77777777" w:rsidR="00632BF0" w:rsidRPr="007C5189" w:rsidRDefault="00632BF0" w:rsidP="00632BF0">
      <w:pPr>
        <w:pStyle w:val="FootnoteText"/>
        <w:jc w:val="both"/>
        <w:rPr>
          <w:rFonts w:ascii="Traditional Arabic" w:hAnsi="Traditional Arabic" w:cs="Traditional Arabic"/>
          <w:sz w:val="28"/>
          <w:szCs w:val="28"/>
          <w:lang w:bidi="ar-EG"/>
        </w:rPr>
      </w:pPr>
      <w:r w:rsidRPr="007C5189">
        <w:rPr>
          <w:rStyle w:val="FootnoteReference"/>
          <w:rFonts w:ascii="Traditional Arabic" w:hAnsi="Traditional Arabic" w:cs="Traditional Arabic"/>
          <w:sz w:val="28"/>
          <w:szCs w:val="28"/>
        </w:rPr>
        <w:footnoteRef/>
      </w:r>
      <w:r w:rsidRPr="007C5189">
        <w:rPr>
          <w:rFonts w:ascii="Traditional Arabic" w:hAnsi="Traditional Arabic" w:cs="Traditional Arabic"/>
          <w:sz w:val="28"/>
          <w:szCs w:val="28"/>
          <w:rtl/>
        </w:rPr>
        <w:t xml:space="preserve"> القرشي، أحمد مرزوق سالم صالح وجلال الدين محمد مشرف</w:t>
      </w:r>
      <w:r>
        <w:rPr>
          <w:rFonts w:ascii="Traditional Arabic" w:hAnsi="Traditional Arabic" w:cs="Traditional Arabic" w:hint="cs"/>
          <w:sz w:val="28"/>
          <w:szCs w:val="28"/>
          <w:rtl/>
          <w:lang w:bidi="ar-EG"/>
        </w:rPr>
        <w:t xml:space="preserve">، </w:t>
      </w:r>
      <w:r w:rsidRPr="007C5189">
        <w:rPr>
          <w:rFonts w:ascii="Traditional Arabic" w:hAnsi="Traditional Arabic" w:cs="Traditional Arabic"/>
          <w:b/>
          <w:bCs/>
          <w:sz w:val="28"/>
          <w:szCs w:val="28"/>
          <w:rtl/>
        </w:rPr>
        <w:t>المسؤولية الجنائية عن الإغتيال دراسة تأصيلية مقارنة،  بالمواثيق والمعاهدات الدولية</w:t>
      </w:r>
      <w:r w:rsidRPr="007C5189">
        <w:rPr>
          <w:rFonts w:ascii="Traditional Arabic" w:hAnsi="Traditional Arabic" w:cs="Traditional Arabic"/>
          <w:sz w:val="28"/>
          <w:szCs w:val="28"/>
          <w:rtl/>
        </w:rPr>
        <w:t>، رسالة دكتوراة منشورة، جامعة نايف للعلوم ال</w:t>
      </w:r>
      <w:r>
        <w:rPr>
          <w:rFonts w:ascii="Traditional Arabic" w:hAnsi="Traditional Arabic" w:cs="Traditional Arabic"/>
          <w:sz w:val="28"/>
          <w:szCs w:val="28"/>
          <w:rtl/>
        </w:rPr>
        <w:t>أمنية، المملكة العربية السعودية</w:t>
      </w:r>
      <w:r>
        <w:rPr>
          <w:rFonts w:ascii="Traditional Arabic" w:hAnsi="Traditional Arabic" w:cs="Traditional Arabic" w:hint="cs"/>
          <w:sz w:val="28"/>
          <w:szCs w:val="28"/>
          <w:rtl/>
        </w:rPr>
        <w:t>، 2019م، ص320</w:t>
      </w:r>
    </w:p>
  </w:footnote>
  <w:footnote w:id="72">
    <w:p w14:paraId="7C6FFFCE" w14:textId="77777777" w:rsidR="00632BF0" w:rsidRDefault="00632BF0" w:rsidP="00632BF0">
      <w:pPr>
        <w:pStyle w:val="FootnoteText"/>
        <w:rPr>
          <w:lang w:bidi="ar-EG"/>
        </w:rPr>
      </w:pPr>
      <w:r>
        <w:rPr>
          <w:rStyle w:val="FootnoteReference"/>
        </w:rPr>
        <w:footnoteRef/>
      </w:r>
      <w:r>
        <w:rPr>
          <w:rtl/>
        </w:rPr>
        <w:t xml:space="preserve"> </w:t>
      </w:r>
      <w:r w:rsidRPr="006C03D7">
        <w:rPr>
          <w:rFonts w:ascii="Traditional Arabic" w:hAnsi="Traditional Arabic" w:cs="Traditional Arabic"/>
          <w:sz w:val="28"/>
          <w:szCs w:val="28"/>
          <w:rtl/>
          <w:lang w:bidi="ar-EG"/>
        </w:rPr>
        <w:t>قانون العقوبات الليبي، 2012م، ص6</w:t>
      </w:r>
      <w:r>
        <w:rPr>
          <w:rFonts w:hint="cs"/>
          <w:rtl/>
          <w:lang w:bidi="ar-EG"/>
        </w:rPr>
        <w:t xml:space="preserve"> </w:t>
      </w:r>
      <w:r w:rsidRPr="006C03D7">
        <w:rPr>
          <w:lang w:bidi="ar-EG"/>
        </w:rPr>
        <w:t>https://ssf.gov.ly/wp-content/uploads/2012</w:t>
      </w:r>
    </w:p>
  </w:footnote>
  <w:footnote w:id="73">
    <w:p w14:paraId="6FB57D64" w14:textId="77777777" w:rsidR="00632BF0" w:rsidRPr="00562455" w:rsidRDefault="00632BF0" w:rsidP="00632BF0">
      <w:pPr>
        <w:pStyle w:val="FootnoteText"/>
        <w:rPr>
          <w:lang w:bidi="ar-EG"/>
        </w:rPr>
      </w:pPr>
      <w:r>
        <w:rPr>
          <w:rStyle w:val="FootnoteReference"/>
        </w:rPr>
        <w:footnoteRef/>
      </w:r>
      <w:r>
        <w:rPr>
          <w:rtl/>
        </w:rPr>
        <w:t xml:space="preserve"> </w:t>
      </w:r>
      <w:r w:rsidRPr="006C03D7">
        <w:rPr>
          <w:rFonts w:ascii="Traditional Arabic" w:hAnsi="Traditional Arabic" w:cs="Traditional Arabic"/>
          <w:sz w:val="28"/>
          <w:szCs w:val="28"/>
          <w:rtl/>
          <w:lang w:bidi="ar-EG"/>
        </w:rPr>
        <w:t>قانون العقوبات الليبي، 2012م، ص6</w:t>
      </w:r>
      <w:r>
        <w:rPr>
          <w:rFonts w:hint="cs"/>
          <w:rtl/>
          <w:lang w:bidi="ar-EG"/>
        </w:rPr>
        <w:t xml:space="preserve"> </w:t>
      </w:r>
      <w:r w:rsidRPr="006C03D7">
        <w:rPr>
          <w:lang w:bidi="ar-EG"/>
        </w:rPr>
        <w:t>https://ssf.gov.ly/wp-content/uploads/2012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5D7B"/>
    <w:multiLevelType w:val="hybridMultilevel"/>
    <w:tmpl w:val="16AAD67A"/>
    <w:lvl w:ilvl="0" w:tplc="37622F88">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401942"/>
    <w:multiLevelType w:val="hybridMultilevel"/>
    <w:tmpl w:val="596A8CB0"/>
    <w:lvl w:ilvl="0" w:tplc="C29EAD58">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101A4"/>
    <w:multiLevelType w:val="hybridMultilevel"/>
    <w:tmpl w:val="54969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331EA"/>
    <w:multiLevelType w:val="hybridMultilevel"/>
    <w:tmpl w:val="418AC6BC"/>
    <w:lvl w:ilvl="0" w:tplc="9C96AEA4">
      <w:numFmt w:val="bullet"/>
      <w:lvlText w:val="-"/>
      <w:lvlJc w:val="left"/>
      <w:pPr>
        <w:tabs>
          <w:tab w:val="num" w:pos="1054"/>
        </w:tabs>
        <w:ind w:left="1054" w:hanging="360"/>
      </w:pPr>
      <w:rPr>
        <w:rFonts w:ascii="Times New Roman" w:eastAsia="Times New Roman" w:hAnsi="Times New Roman" w:cs="Simplified Arabic"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42E7D"/>
    <w:multiLevelType w:val="hybridMultilevel"/>
    <w:tmpl w:val="89027D90"/>
    <w:lvl w:ilvl="0" w:tplc="0666B31A">
      <w:start w:val="1"/>
      <w:numFmt w:val="arabicAlpha"/>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5" w15:restartNumberingAfterBreak="0">
    <w:nsid w:val="130B2EF0"/>
    <w:multiLevelType w:val="hybridMultilevel"/>
    <w:tmpl w:val="6E0C1D30"/>
    <w:lvl w:ilvl="0" w:tplc="02D8954E">
      <w:start w:val="1"/>
      <w:numFmt w:val="decimal"/>
      <w:lvlText w:val="%1."/>
      <w:lvlJc w:val="left"/>
      <w:pPr>
        <w:ind w:left="720" w:hanging="360"/>
      </w:pPr>
      <w:rPr>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1C94"/>
    <w:multiLevelType w:val="hybridMultilevel"/>
    <w:tmpl w:val="1AFECDB4"/>
    <w:lvl w:ilvl="0" w:tplc="72FA5A20">
      <w:numFmt w:val="bullet"/>
      <w:lvlText w:val="-"/>
      <w:lvlJc w:val="left"/>
      <w:pPr>
        <w:ind w:left="720" w:hanging="360"/>
      </w:pPr>
      <w:rPr>
        <w:rFonts w:ascii="Calibri" w:eastAsia="Calibri" w:hAnsi="Calibri"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46417"/>
    <w:multiLevelType w:val="hybridMultilevel"/>
    <w:tmpl w:val="01F443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27142C"/>
    <w:multiLevelType w:val="hybridMultilevel"/>
    <w:tmpl w:val="3990A38C"/>
    <w:lvl w:ilvl="0" w:tplc="0409000F">
      <w:start w:val="1"/>
      <w:numFmt w:val="decimal"/>
      <w:lvlText w:val="%1."/>
      <w:lvlJc w:val="left"/>
      <w:pPr>
        <w:ind w:left="1535" w:hanging="360"/>
      </w:pPr>
      <w:rPr>
        <w:rFonts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9" w15:restartNumberingAfterBreak="0">
    <w:nsid w:val="252F2BF0"/>
    <w:multiLevelType w:val="hybridMultilevel"/>
    <w:tmpl w:val="B036B1A4"/>
    <w:lvl w:ilvl="0" w:tplc="04090001">
      <w:start w:val="1"/>
      <w:numFmt w:val="bullet"/>
      <w:lvlText w:val=""/>
      <w:lvlJc w:val="left"/>
      <w:pPr>
        <w:ind w:left="1535" w:hanging="360"/>
      </w:pPr>
      <w:rPr>
        <w:rFonts w:ascii="Symbol" w:hAnsi="Symbol"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10" w15:restartNumberingAfterBreak="0">
    <w:nsid w:val="25BE1A30"/>
    <w:multiLevelType w:val="hybridMultilevel"/>
    <w:tmpl w:val="CC2A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67BEB"/>
    <w:multiLevelType w:val="hybridMultilevel"/>
    <w:tmpl w:val="85520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056CEC"/>
    <w:multiLevelType w:val="hybridMultilevel"/>
    <w:tmpl w:val="7E946942"/>
    <w:lvl w:ilvl="0" w:tplc="74987C12">
      <w:start w:val="1"/>
      <w:numFmt w:val="bullet"/>
      <w:lvlText w:val=""/>
      <w:lvlJc w:val="left"/>
      <w:pPr>
        <w:ind w:left="360" w:hanging="360"/>
      </w:pPr>
      <w:rPr>
        <w:rFonts w:ascii="Wingdings" w:hAnsi="Wingdings" w:hint="default"/>
        <w:sz w:val="24"/>
        <w:szCs w:val="24"/>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7D93631"/>
    <w:multiLevelType w:val="multilevel"/>
    <w:tmpl w:val="9D9AB59E"/>
    <w:lvl w:ilvl="0">
      <w:start w:val="2"/>
      <w:numFmt w:val="decimal"/>
      <w:lvlText w:val="%1."/>
      <w:lvlJc w:val="left"/>
      <w:pPr>
        <w:ind w:left="555" w:hanging="555"/>
      </w:pPr>
      <w:rPr>
        <w:rFonts w:hint="default"/>
        <w:b/>
      </w:rPr>
    </w:lvl>
    <w:lvl w:ilvl="1">
      <w:start w:val="1"/>
      <w:numFmt w:val="decimal"/>
      <w:lvlText w:val="%1.%2."/>
      <w:lvlJc w:val="left"/>
      <w:pPr>
        <w:ind w:left="720" w:hanging="720"/>
      </w:pPr>
      <w:rPr>
        <w:rFonts w:ascii="Times New Roman" w:hAnsi="Times New Roman" w:cs="Times New Roman" w:hint="default"/>
        <w:b w:val="0"/>
        <w:bCs/>
        <w:sz w:val="24"/>
        <w:szCs w:val="24"/>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4" w15:restartNumberingAfterBreak="0">
    <w:nsid w:val="3FE9010B"/>
    <w:multiLevelType w:val="hybridMultilevel"/>
    <w:tmpl w:val="524485FA"/>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15" w15:restartNumberingAfterBreak="0">
    <w:nsid w:val="400E0AA1"/>
    <w:multiLevelType w:val="hybridMultilevel"/>
    <w:tmpl w:val="F3EE8DF8"/>
    <w:lvl w:ilvl="0" w:tplc="C4A69A1C">
      <w:start w:val="1"/>
      <w:numFmt w:val="bullet"/>
      <w:lvlText w:val="-"/>
      <w:lvlJc w:val="left"/>
      <w:pPr>
        <w:ind w:left="720" w:hanging="360"/>
      </w:pPr>
      <w:rPr>
        <w:rFonts w:ascii="Simplified Arabic" w:eastAsia="Times New Roman" w:hAnsi="Simplified Arabic" w:cs="Traditional Arabic"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BB6A6C"/>
    <w:multiLevelType w:val="hybridMultilevel"/>
    <w:tmpl w:val="FF088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D82B7C"/>
    <w:multiLevelType w:val="hybridMultilevel"/>
    <w:tmpl w:val="D076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4C1F2F"/>
    <w:multiLevelType w:val="hybridMultilevel"/>
    <w:tmpl w:val="C3FACCC6"/>
    <w:lvl w:ilvl="0" w:tplc="04090001">
      <w:start w:val="1"/>
      <w:numFmt w:val="bullet"/>
      <w:lvlText w:val=""/>
      <w:lvlJc w:val="left"/>
      <w:pPr>
        <w:ind w:left="720" w:right="1296" w:hanging="360"/>
      </w:pPr>
      <w:rPr>
        <w:rFonts w:ascii="Symbol" w:hAnsi="Symbol" w:hint="default"/>
      </w:rPr>
    </w:lvl>
    <w:lvl w:ilvl="1" w:tplc="04090003">
      <w:start w:val="1"/>
      <w:numFmt w:val="bullet"/>
      <w:lvlText w:val="o"/>
      <w:lvlJc w:val="left"/>
      <w:pPr>
        <w:ind w:left="1440" w:right="2016" w:hanging="360"/>
      </w:pPr>
      <w:rPr>
        <w:rFonts w:ascii="Courier New" w:hAnsi="Courier New" w:cs="Courier New" w:hint="default"/>
      </w:rPr>
    </w:lvl>
    <w:lvl w:ilvl="2" w:tplc="04090005">
      <w:start w:val="1"/>
      <w:numFmt w:val="bullet"/>
      <w:lvlText w:val=""/>
      <w:lvlJc w:val="left"/>
      <w:pPr>
        <w:ind w:left="2160" w:right="2736" w:hanging="360"/>
      </w:pPr>
      <w:rPr>
        <w:rFonts w:ascii="Wingdings" w:hAnsi="Wingdings" w:hint="default"/>
      </w:rPr>
    </w:lvl>
    <w:lvl w:ilvl="3" w:tplc="04090001">
      <w:start w:val="1"/>
      <w:numFmt w:val="bullet"/>
      <w:lvlText w:val=""/>
      <w:lvlJc w:val="left"/>
      <w:pPr>
        <w:ind w:left="2880" w:right="3456" w:hanging="360"/>
      </w:pPr>
      <w:rPr>
        <w:rFonts w:ascii="Symbol" w:hAnsi="Symbol" w:hint="default"/>
      </w:rPr>
    </w:lvl>
    <w:lvl w:ilvl="4" w:tplc="04090003">
      <w:start w:val="1"/>
      <w:numFmt w:val="bullet"/>
      <w:lvlText w:val="o"/>
      <w:lvlJc w:val="left"/>
      <w:pPr>
        <w:ind w:left="3600" w:right="4176" w:hanging="360"/>
      </w:pPr>
      <w:rPr>
        <w:rFonts w:ascii="Courier New" w:hAnsi="Courier New" w:cs="Courier New" w:hint="default"/>
      </w:rPr>
    </w:lvl>
    <w:lvl w:ilvl="5" w:tplc="04090005">
      <w:start w:val="1"/>
      <w:numFmt w:val="bullet"/>
      <w:lvlText w:val=""/>
      <w:lvlJc w:val="left"/>
      <w:pPr>
        <w:ind w:left="4320" w:right="4896" w:hanging="360"/>
      </w:pPr>
      <w:rPr>
        <w:rFonts w:ascii="Wingdings" w:hAnsi="Wingdings" w:hint="default"/>
      </w:rPr>
    </w:lvl>
    <w:lvl w:ilvl="6" w:tplc="04090001">
      <w:start w:val="1"/>
      <w:numFmt w:val="bullet"/>
      <w:lvlText w:val=""/>
      <w:lvlJc w:val="left"/>
      <w:pPr>
        <w:ind w:left="5040" w:right="5616" w:hanging="360"/>
      </w:pPr>
      <w:rPr>
        <w:rFonts w:ascii="Symbol" w:hAnsi="Symbol" w:hint="default"/>
      </w:rPr>
    </w:lvl>
    <w:lvl w:ilvl="7" w:tplc="04090003">
      <w:start w:val="1"/>
      <w:numFmt w:val="bullet"/>
      <w:lvlText w:val="o"/>
      <w:lvlJc w:val="left"/>
      <w:pPr>
        <w:ind w:left="5760" w:right="6336" w:hanging="360"/>
      </w:pPr>
      <w:rPr>
        <w:rFonts w:ascii="Courier New" w:hAnsi="Courier New" w:cs="Courier New" w:hint="default"/>
      </w:rPr>
    </w:lvl>
    <w:lvl w:ilvl="8" w:tplc="04090005">
      <w:start w:val="1"/>
      <w:numFmt w:val="bullet"/>
      <w:lvlText w:val=""/>
      <w:lvlJc w:val="left"/>
      <w:pPr>
        <w:ind w:left="6480" w:right="7056" w:hanging="360"/>
      </w:pPr>
      <w:rPr>
        <w:rFonts w:ascii="Wingdings" w:hAnsi="Wingdings" w:hint="default"/>
      </w:rPr>
    </w:lvl>
  </w:abstractNum>
  <w:abstractNum w:abstractNumId="19" w15:restartNumberingAfterBreak="0">
    <w:nsid w:val="42D2281B"/>
    <w:multiLevelType w:val="multilevel"/>
    <w:tmpl w:val="155A7058"/>
    <w:lvl w:ilvl="0">
      <w:start w:val="2"/>
      <w:numFmt w:val="decimal"/>
      <w:lvlText w:val="%1."/>
      <w:lvlJc w:val="left"/>
      <w:pPr>
        <w:ind w:left="840" w:hanging="840"/>
      </w:pPr>
      <w:rPr>
        <w:rFonts w:hint="default"/>
        <w:b/>
      </w:rPr>
    </w:lvl>
    <w:lvl w:ilvl="1">
      <w:start w:val="1"/>
      <w:numFmt w:val="decimal"/>
      <w:lvlText w:val="%1.%2."/>
      <w:lvlJc w:val="left"/>
      <w:pPr>
        <w:ind w:left="840" w:hanging="840"/>
      </w:pPr>
      <w:rPr>
        <w:rFonts w:hint="default"/>
        <w:b/>
      </w:rPr>
    </w:lvl>
    <w:lvl w:ilvl="2">
      <w:start w:val="1"/>
      <w:numFmt w:val="decimal"/>
      <w:lvlText w:val="%1.%2.%3."/>
      <w:lvlJc w:val="left"/>
      <w:pPr>
        <w:ind w:left="1080" w:hanging="1080"/>
      </w:pPr>
      <w:rPr>
        <w:rFonts w:ascii="Times New Roman" w:hAnsi="Times New Roman" w:cs="Times New Roman" w:hint="default"/>
        <w:b w:val="0"/>
        <w:bCs/>
        <w:sz w:val="24"/>
        <w:szCs w:val="24"/>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20" w15:restartNumberingAfterBreak="0">
    <w:nsid w:val="482F7692"/>
    <w:multiLevelType w:val="hybridMultilevel"/>
    <w:tmpl w:val="3004826A"/>
    <w:lvl w:ilvl="0" w:tplc="37622F88">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E75E7C"/>
    <w:multiLevelType w:val="hybridMultilevel"/>
    <w:tmpl w:val="ACAA976C"/>
    <w:lvl w:ilvl="0" w:tplc="83302CFC">
      <w:start w:val="1"/>
      <w:numFmt w:val="bullet"/>
      <w:lvlText w:val=""/>
      <w:lvlJc w:val="left"/>
      <w:pPr>
        <w:ind w:left="720" w:hanging="360"/>
      </w:pPr>
      <w:rPr>
        <w:rFonts w:ascii="Wingdings" w:hAnsi="Wingdings" w:hint="default"/>
        <w:sz w:val="24"/>
        <w:szCs w:val="24"/>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D1056B"/>
    <w:multiLevelType w:val="hybridMultilevel"/>
    <w:tmpl w:val="CD7A7216"/>
    <w:lvl w:ilvl="0" w:tplc="281056A6">
      <w:start w:val="1"/>
      <w:numFmt w:val="bullet"/>
      <w:lvlText w:val=""/>
      <w:lvlJc w:val="left"/>
      <w:pPr>
        <w:ind w:left="720"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DD3DFC"/>
    <w:multiLevelType w:val="hybridMultilevel"/>
    <w:tmpl w:val="784C950E"/>
    <w:lvl w:ilvl="0" w:tplc="0409000F">
      <w:start w:val="1"/>
      <w:numFmt w:val="decimal"/>
      <w:lvlText w:val="%1."/>
      <w:lvlJc w:val="left"/>
      <w:pPr>
        <w:ind w:left="1535" w:hanging="360"/>
      </w:pPr>
      <w:rPr>
        <w:rFonts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24" w15:restartNumberingAfterBreak="0">
    <w:nsid w:val="4DEC2B47"/>
    <w:multiLevelType w:val="hybridMultilevel"/>
    <w:tmpl w:val="E612D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35F13"/>
    <w:multiLevelType w:val="hybridMultilevel"/>
    <w:tmpl w:val="CB74BC48"/>
    <w:lvl w:ilvl="0" w:tplc="6958C1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B4075"/>
    <w:multiLevelType w:val="hybridMultilevel"/>
    <w:tmpl w:val="0A165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D5BB2"/>
    <w:multiLevelType w:val="hybridMultilevel"/>
    <w:tmpl w:val="0BE82924"/>
    <w:lvl w:ilvl="0" w:tplc="8D9878D6">
      <w:numFmt w:val="bullet"/>
      <w:lvlText w:val="-"/>
      <w:lvlJc w:val="left"/>
      <w:pPr>
        <w:ind w:left="720" w:hanging="360"/>
      </w:pPr>
      <w:rPr>
        <w:rFonts w:ascii="Andalus" w:eastAsia="Times New Roman"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E073D"/>
    <w:multiLevelType w:val="hybridMultilevel"/>
    <w:tmpl w:val="874E562C"/>
    <w:lvl w:ilvl="0" w:tplc="3FAE769E">
      <w:start w:val="1"/>
      <w:numFmt w:val="bullet"/>
      <w:lvlText w:val=""/>
      <w:lvlJc w:val="left"/>
      <w:pPr>
        <w:ind w:left="795" w:hanging="360"/>
      </w:pPr>
      <w:rPr>
        <w:rFonts w:ascii="Symbol" w:hAnsi="Symbol" w:hint="default"/>
        <w:sz w:val="26"/>
        <w:szCs w:val="26"/>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9" w15:restartNumberingAfterBreak="0">
    <w:nsid w:val="596A0530"/>
    <w:multiLevelType w:val="hybridMultilevel"/>
    <w:tmpl w:val="833AC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C19C0"/>
    <w:multiLevelType w:val="hybridMultilevel"/>
    <w:tmpl w:val="1A9AC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B333CA"/>
    <w:multiLevelType w:val="hybridMultilevel"/>
    <w:tmpl w:val="AD1EEB72"/>
    <w:lvl w:ilvl="0" w:tplc="195C26E4">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3E5D38"/>
    <w:multiLevelType w:val="hybridMultilevel"/>
    <w:tmpl w:val="AC04CA8A"/>
    <w:lvl w:ilvl="0" w:tplc="A412B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65B6A"/>
    <w:multiLevelType w:val="hybridMultilevel"/>
    <w:tmpl w:val="75CECD12"/>
    <w:lvl w:ilvl="0" w:tplc="AFBC6904">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5D550C"/>
    <w:multiLevelType w:val="hybridMultilevel"/>
    <w:tmpl w:val="FBA6A76E"/>
    <w:lvl w:ilvl="0" w:tplc="04090001">
      <w:start w:val="1"/>
      <w:numFmt w:val="bullet"/>
      <w:lvlText w:val=""/>
      <w:lvlJc w:val="left"/>
      <w:pPr>
        <w:ind w:left="1535" w:hanging="360"/>
      </w:pPr>
      <w:rPr>
        <w:rFonts w:ascii="Symbol" w:hAnsi="Symbol"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35" w15:restartNumberingAfterBreak="0">
    <w:nsid w:val="5E9825ED"/>
    <w:multiLevelType w:val="hybridMultilevel"/>
    <w:tmpl w:val="1798A97C"/>
    <w:lvl w:ilvl="0" w:tplc="23024888">
      <w:start w:val="1"/>
      <w:numFmt w:val="bullet"/>
      <w:lvlText w:val=""/>
      <w:lvlJc w:val="left"/>
      <w:pPr>
        <w:tabs>
          <w:tab w:val="num" w:pos="450"/>
        </w:tabs>
        <w:ind w:left="450" w:hanging="360"/>
      </w:pPr>
      <w:rPr>
        <w:rFonts w:ascii="Symbol" w:eastAsia="Times New Roman" w:hAnsi="Symbol" w:cs="Tahoma" w:hint="default"/>
        <w:b/>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6" w15:restartNumberingAfterBreak="0">
    <w:nsid w:val="612755E7"/>
    <w:multiLevelType w:val="hybridMultilevel"/>
    <w:tmpl w:val="A83CA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B42A4"/>
    <w:multiLevelType w:val="hybridMultilevel"/>
    <w:tmpl w:val="A2EA82BE"/>
    <w:lvl w:ilvl="0" w:tplc="0409000F">
      <w:start w:val="1"/>
      <w:numFmt w:val="decimal"/>
      <w:lvlText w:val="%1."/>
      <w:lvlJc w:val="left"/>
      <w:pPr>
        <w:ind w:left="1535" w:hanging="360"/>
      </w:pPr>
      <w:rPr>
        <w:rFonts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38" w15:restartNumberingAfterBreak="0">
    <w:nsid w:val="6EE51122"/>
    <w:multiLevelType w:val="hybridMultilevel"/>
    <w:tmpl w:val="81D8BA56"/>
    <w:lvl w:ilvl="0" w:tplc="0D3AEC2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0B15CC"/>
    <w:multiLevelType w:val="hybridMultilevel"/>
    <w:tmpl w:val="B3E84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EB4919"/>
    <w:multiLevelType w:val="hybridMultilevel"/>
    <w:tmpl w:val="F64C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10EAC"/>
    <w:multiLevelType w:val="hybridMultilevel"/>
    <w:tmpl w:val="2B84C0C2"/>
    <w:lvl w:ilvl="0" w:tplc="73DADA3C">
      <w:start w:val="1"/>
      <w:numFmt w:val="bullet"/>
      <w:lvlText w:val=""/>
      <w:lvlJc w:val="left"/>
      <w:pPr>
        <w:ind w:left="720" w:hanging="360"/>
      </w:pPr>
      <w:rPr>
        <w:rFonts w:ascii="Wingdings" w:hAnsi="Wingdings" w:hint="default"/>
        <w:sz w:val="26"/>
        <w:szCs w:val="26"/>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1A7BD4"/>
    <w:multiLevelType w:val="hybridMultilevel"/>
    <w:tmpl w:val="4DA8A40E"/>
    <w:lvl w:ilvl="0" w:tplc="0346D00C">
      <w:start w:val="27"/>
      <w:numFmt w:val="bullet"/>
      <w:lvlText w:val="-"/>
      <w:lvlJc w:val="left"/>
      <w:pPr>
        <w:tabs>
          <w:tab w:val="num" w:pos="720"/>
        </w:tabs>
        <w:ind w:left="720" w:hanging="360"/>
      </w:pPr>
      <w:rPr>
        <w:rFonts w:ascii="Times New Roman" w:eastAsia="Times New Roman" w:hAnsi="Times New Roman" w:cs="Simplified Arabic" w:hint="default"/>
        <w:b/>
        <w:lang w:bidi="ar-SA"/>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167E81"/>
    <w:multiLevelType w:val="hybridMultilevel"/>
    <w:tmpl w:val="E1066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FD0103"/>
    <w:multiLevelType w:val="hybridMultilevel"/>
    <w:tmpl w:val="0FAC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A308A4"/>
    <w:multiLevelType w:val="hybridMultilevel"/>
    <w:tmpl w:val="2264B4A8"/>
    <w:lvl w:ilvl="0" w:tplc="27647D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57D20"/>
    <w:multiLevelType w:val="multilevel"/>
    <w:tmpl w:val="2760034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7" w15:restartNumberingAfterBreak="0">
    <w:nsid w:val="7FE70A41"/>
    <w:multiLevelType w:val="hybridMultilevel"/>
    <w:tmpl w:val="2AB4C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2"/>
  </w:num>
  <w:num w:numId="4">
    <w:abstractNumId w:val="11"/>
  </w:num>
  <w:num w:numId="5">
    <w:abstractNumId w:val="30"/>
  </w:num>
  <w:num w:numId="6">
    <w:abstractNumId w:val="43"/>
  </w:num>
  <w:num w:numId="7">
    <w:abstractNumId w:val="47"/>
  </w:num>
  <w:num w:numId="8">
    <w:abstractNumId w:val="44"/>
  </w:num>
  <w:num w:numId="9">
    <w:abstractNumId w:val="36"/>
  </w:num>
  <w:num w:numId="10">
    <w:abstractNumId w:val="39"/>
  </w:num>
  <w:num w:numId="11">
    <w:abstractNumId w:val="16"/>
  </w:num>
  <w:num w:numId="12">
    <w:abstractNumId w:val="29"/>
  </w:num>
  <w:num w:numId="13">
    <w:abstractNumId w:val="46"/>
  </w:num>
  <w:num w:numId="14">
    <w:abstractNumId w:val="18"/>
  </w:num>
  <w:num w:numId="15">
    <w:abstractNumId w:val="5"/>
  </w:num>
  <w:num w:numId="16">
    <w:abstractNumId w:val="0"/>
  </w:num>
  <w:num w:numId="17">
    <w:abstractNumId w:val="7"/>
  </w:num>
  <w:num w:numId="18">
    <w:abstractNumId w:val="20"/>
  </w:num>
  <w:num w:numId="19">
    <w:abstractNumId w:val="1"/>
  </w:num>
  <w:num w:numId="20">
    <w:abstractNumId w:val="13"/>
  </w:num>
  <w:num w:numId="21">
    <w:abstractNumId w:val="41"/>
  </w:num>
  <w:num w:numId="22">
    <w:abstractNumId w:val="22"/>
  </w:num>
  <w:num w:numId="23">
    <w:abstractNumId w:val="31"/>
  </w:num>
  <w:num w:numId="24">
    <w:abstractNumId w:val="6"/>
  </w:num>
  <w:num w:numId="25">
    <w:abstractNumId w:val="19"/>
  </w:num>
  <w:num w:numId="26">
    <w:abstractNumId w:val="42"/>
  </w:num>
  <w:num w:numId="27">
    <w:abstractNumId w:val="3"/>
  </w:num>
  <w:num w:numId="28">
    <w:abstractNumId w:val="21"/>
  </w:num>
  <w:num w:numId="29">
    <w:abstractNumId w:val="15"/>
  </w:num>
  <w:num w:numId="30">
    <w:abstractNumId w:val="28"/>
  </w:num>
  <w:num w:numId="31">
    <w:abstractNumId w:val="38"/>
  </w:num>
  <w:num w:numId="32">
    <w:abstractNumId w:val="12"/>
  </w:num>
  <w:num w:numId="33">
    <w:abstractNumId w:val="35"/>
  </w:num>
  <w:num w:numId="34">
    <w:abstractNumId w:val="27"/>
  </w:num>
  <w:num w:numId="35">
    <w:abstractNumId w:val="32"/>
  </w:num>
  <w:num w:numId="36">
    <w:abstractNumId w:val="33"/>
  </w:num>
  <w:num w:numId="37">
    <w:abstractNumId w:val="45"/>
  </w:num>
  <w:num w:numId="38">
    <w:abstractNumId w:val="14"/>
  </w:num>
  <w:num w:numId="39">
    <w:abstractNumId w:val="24"/>
  </w:num>
  <w:num w:numId="40">
    <w:abstractNumId w:val="26"/>
  </w:num>
  <w:num w:numId="41">
    <w:abstractNumId w:val="4"/>
  </w:num>
  <w:num w:numId="42">
    <w:abstractNumId w:val="34"/>
  </w:num>
  <w:num w:numId="43">
    <w:abstractNumId w:val="9"/>
  </w:num>
  <w:num w:numId="44">
    <w:abstractNumId w:val="23"/>
  </w:num>
  <w:num w:numId="45">
    <w:abstractNumId w:val="8"/>
  </w:num>
  <w:num w:numId="46">
    <w:abstractNumId w:val="37"/>
  </w:num>
  <w:num w:numId="47">
    <w:abstractNumId w:val="40"/>
  </w:num>
  <w:num w:numId="4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7F5"/>
    <w:rsid w:val="00003652"/>
    <w:rsid w:val="00005FAB"/>
    <w:rsid w:val="00011479"/>
    <w:rsid w:val="000119AC"/>
    <w:rsid w:val="0001306E"/>
    <w:rsid w:val="00013ACE"/>
    <w:rsid w:val="00024C5B"/>
    <w:rsid w:val="00025BB9"/>
    <w:rsid w:val="000363BF"/>
    <w:rsid w:val="0004420D"/>
    <w:rsid w:val="00050CCD"/>
    <w:rsid w:val="00050FFD"/>
    <w:rsid w:val="000650F8"/>
    <w:rsid w:val="00082519"/>
    <w:rsid w:val="00087371"/>
    <w:rsid w:val="000B648F"/>
    <w:rsid w:val="000B6C96"/>
    <w:rsid w:val="000C3935"/>
    <w:rsid w:val="000D1C9E"/>
    <w:rsid w:val="000E4AEA"/>
    <w:rsid w:val="00100509"/>
    <w:rsid w:val="00111ED5"/>
    <w:rsid w:val="00113566"/>
    <w:rsid w:val="00115998"/>
    <w:rsid w:val="00115DAD"/>
    <w:rsid w:val="00122AB4"/>
    <w:rsid w:val="00151A6B"/>
    <w:rsid w:val="00152F62"/>
    <w:rsid w:val="001531EA"/>
    <w:rsid w:val="00153926"/>
    <w:rsid w:val="001545E1"/>
    <w:rsid w:val="0015497D"/>
    <w:rsid w:val="001571FA"/>
    <w:rsid w:val="00164832"/>
    <w:rsid w:val="00167794"/>
    <w:rsid w:val="00167EA8"/>
    <w:rsid w:val="00174134"/>
    <w:rsid w:val="00183428"/>
    <w:rsid w:val="00185AE7"/>
    <w:rsid w:val="00185F97"/>
    <w:rsid w:val="001A4D13"/>
    <w:rsid w:val="001A5095"/>
    <w:rsid w:val="001A65E6"/>
    <w:rsid w:val="001B449A"/>
    <w:rsid w:val="001C235B"/>
    <w:rsid w:val="001C4D52"/>
    <w:rsid w:val="001D2DE9"/>
    <w:rsid w:val="001D3493"/>
    <w:rsid w:val="001D5600"/>
    <w:rsid w:val="001E7504"/>
    <w:rsid w:val="0020184B"/>
    <w:rsid w:val="00216A70"/>
    <w:rsid w:val="002232E0"/>
    <w:rsid w:val="0022573D"/>
    <w:rsid w:val="00251773"/>
    <w:rsid w:val="00251AE0"/>
    <w:rsid w:val="002554EA"/>
    <w:rsid w:val="00257243"/>
    <w:rsid w:val="002649AD"/>
    <w:rsid w:val="00273808"/>
    <w:rsid w:val="00290C3B"/>
    <w:rsid w:val="002B25B3"/>
    <w:rsid w:val="002B301C"/>
    <w:rsid w:val="002E100D"/>
    <w:rsid w:val="002F47B9"/>
    <w:rsid w:val="00306B77"/>
    <w:rsid w:val="00321D62"/>
    <w:rsid w:val="00337A6E"/>
    <w:rsid w:val="00342E53"/>
    <w:rsid w:val="00344C35"/>
    <w:rsid w:val="00356ABE"/>
    <w:rsid w:val="00370B5D"/>
    <w:rsid w:val="003809D7"/>
    <w:rsid w:val="003838F7"/>
    <w:rsid w:val="003954CE"/>
    <w:rsid w:val="003C55C3"/>
    <w:rsid w:val="003C7AD7"/>
    <w:rsid w:val="003E0631"/>
    <w:rsid w:val="003E53B5"/>
    <w:rsid w:val="00403C68"/>
    <w:rsid w:val="00412F22"/>
    <w:rsid w:val="00415EA4"/>
    <w:rsid w:val="00421539"/>
    <w:rsid w:val="00425047"/>
    <w:rsid w:val="00440634"/>
    <w:rsid w:val="00444B6D"/>
    <w:rsid w:val="00452246"/>
    <w:rsid w:val="0045392F"/>
    <w:rsid w:val="0045540A"/>
    <w:rsid w:val="00455810"/>
    <w:rsid w:val="004636E0"/>
    <w:rsid w:val="004636EC"/>
    <w:rsid w:val="0046711B"/>
    <w:rsid w:val="004806A7"/>
    <w:rsid w:val="00481F20"/>
    <w:rsid w:val="00487260"/>
    <w:rsid w:val="004A0DD8"/>
    <w:rsid w:val="004A36CF"/>
    <w:rsid w:val="004A4D32"/>
    <w:rsid w:val="004A6E0C"/>
    <w:rsid w:val="004B06ED"/>
    <w:rsid w:val="004B5DCD"/>
    <w:rsid w:val="004C1FC4"/>
    <w:rsid w:val="004D745B"/>
    <w:rsid w:val="004E28F3"/>
    <w:rsid w:val="004F3248"/>
    <w:rsid w:val="00501F1D"/>
    <w:rsid w:val="005029E9"/>
    <w:rsid w:val="005057D9"/>
    <w:rsid w:val="00511C97"/>
    <w:rsid w:val="00515C6F"/>
    <w:rsid w:val="00521418"/>
    <w:rsid w:val="0052453D"/>
    <w:rsid w:val="00531333"/>
    <w:rsid w:val="0053235D"/>
    <w:rsid w:val="00532FC6"/>
    <w:rsid w:val="00533F83"/>
    <w:rsid w:val="00534EFF"/>
    <w:rsid w:val="00540037"/>
    <w:rsid w:val="00546FB6"/>
    <w:rsid w:val="005537BA"/>
    <w:rsid w:val="00561E9A"/>
    <w:rsid w:val="00564A44"/>
    <w:rsid w:val="005712EB"/>
    <w:rsid w:val="00572073"/>
    <w:rsid w:val="00592A12"/>
    <w:rsid w:val="00593EC0"/>
    <w:rsid w:val="00594773"/>
    <w:rsid w:val="00597704"/>
    <w:rsid w:val="005B0B48"/>
    <w:rsid w:val="005B3D78"/>
    <w:rsid w:val="005C0B1A"/>
    <w:rsid w:val="005D4579"/>
    <w:rsid w:val="005E06A5"/>
    <w:rsid w:val="005E20E9"/>
    <w:rsid w:val="00616157"/>
    <w:rsid w:val="00632BF0"/>
    <w:rsid w:val="00637672"/>
    <w:rsid w:val="00646E1A"/>
    <w:rsid w:val="00651DB2"/>
    <w:rsid w:val="00662C57"/>
    <w:rsid w:val="00667808"/>
    <w:rsid w:val="0069147A"/>
    <w:rsid w:val="00694203"/>
    <w:rsid w:val="0069567F"/>
    <w:rsid w:val="00697893"/>
    <w:rsid w:val="006B356F"/>
    <w:rsid w:val="006B62E6"/>
    <w:rsid w:val="006C0C1A"/>
    <w:rsid w:val="006C34A1"/>
    <w:rsid w:val="006E0D35"/>
    <w:rsid w:val="006E3FDD"/>
    <w:rsid w:val="006E4E02"/>
    <w:rsid w:val="006F0F4D"/>
    <w:rsid w:val="00707B47"/>
    <w:rsid w:val="00714D7C"/>
    <w:rsid w:val="0072227D"/>
    <w:rsid w:val="00742C5B"/>
    <w:rsid w:val="00764C35"/>
    <w:rsid w:val="007754EA"/>
    <w:rsid w:val="007761EC"/>
    <w:rsid w:val="00776593"/>
    <w:rsid w:val="00784527"/>
    <w:rsid w:val="007855F8"/>
    <w:rsid w:val="0078688D"/>
    <w:rsid w:val="0079012A"/>
    <w:rsid w:val="00794743"/>
    <w:rsid w:val="007A34B5"/>
    <w:rsid w:val="007A5B6A"/>
    <w:rsid w:val="007B7B39"/>
    <w:rsid w:val="007C37C5"/>
    <w:rsid w:val="007C40E0"/>
    <w:rsid w:val="007D0B77"/>
    <w:rsid w:val="007F033E"/>
    <w:rsid w:val="00800D76"/>
    <w:rsid w:val="00802F53"/>
    <w:rsid w:val="00807BEA"/>
    <w:rsid w:val="00807DAC"/>
    <w:rsid w:val="00830252"/>
    <w:rsid w:val="00832AE1"/>
    <w:rsid w:val="00847C95"/>
    <w:rsid w:val="008743FD"/>
    <w:rsid w:val="0087514A"/>
    <w:rsid w:val="0087619E"/>
    <w:rsid w:val="008A0AC5"/>
    <w:rsid w:val="008A3DE5"/>
    <w:rsid w:val="008B100F"/>
    <w:rsid w:val="008B197D"/>
    <w:rsid w:val="008B1B52"/>
    <w:rsid w:val="008B34B3"/>
    <w:rsid w:val="008C3EEB"/>
    <w:rsid w:val="008D0EFD"/>
    <w:rsid w:val="008D13CD"/>
    <w:rsid w:val="008D6F07"/>
    <w:rsid w:val="008E0010"/>
    <w:rsid w:val="009109B2"/>
    <w:rsid w:val="009148DB"/>
    <w:rsid w:val="00931C49"/>
    <w:rsid w:val="00943828"/>
    <w:rsid w:val="0095337A"/>
    <w:rsid w:val="00973190"/>
    <w:rsid w:val="009837F5"/>
    <w:rsid w:val="00986B35"/>
    <w:rsid w:val="00996BAA"/>
    <w:rsid w:val="009A1397"/>
    <w:rsid w:val="009B0972"/>
    <w:rsid w:val="009B0B15"/>
    <w:rsid w:val="009B113F"/>
    <w:rsid w:val="009B13E1"/>
    <w:rsid w:val="009B46E3"/>
    <w:rsid w:val="009C3174"/>
    <w:rsid w:val="009C348B"/>
    <w:rsid w:val="009D7967"/>
    <w:rsid w:val="009F09F6"/>
    <w:rsid w:val="009F1C62"/>
    <w:rsid w:val="009F2951"/>
    <w:rsid w:val="00A142F9"/>
    <w:rsid w:val="00A25717"/>
    <w:rsid w:val="00A26A4E"/>
    <w:rsid w:val="00A27D90"/>
    <w:rsid w:val="00A576DC"/>
    <w:rsid w:val="00A57CCC"/>
    <w:rsid w:val="00A6701B"/>
    <w:rsid w:val="00A7346C"/>
    <w:rsid w:val="00A74D85"/>
    <w:rsid w:val="00A85852"/>
    <w:rsid w:val="00A906CF"/>
    <w:rsid w:val="00AB5C1A"/>
    <w:rsid w:val="00AC1878"/>
    <w:rsid w:val="00AC1D48"/>
    <w:rsid w:val="00AC2764"/>
    <w:rsid w:val="00AC38F6"/>
    <w:rsid w:val="00AC3944"/>
    <w:rsid w:val="00AD1B8E"/>
    <w:rsid w:val="00AF73B3"/>
    <w:rsid w:val="00B017C3"/>
    <w:rsid w:val="00B153FC"/>
    <w:rsid w:val="00B20DA4"/>
    <w:rsid w:val="00B21C60"/>
    <w:rsid w:val="00B22870"/>
    <w:rsid w:val="00B33FB6"/>
    <w:rsid w:val="00B45C9F"/>
    <w:rsid w:val="00B4713A"/>
    <w:rsid w:val="00B534E4"/>
    <w:rsid w:val="00B8059C"/>
    <w:rsid w:val="00B82A73"/>
    <w:rsid w:val="00B87A1F"/>
    <w:rsid w:val="00B94AE3"/>
    <w:rsid w:val="00B9665D"/>
    <w:rsid w:val="00B9690F"/>
    <w:rsid w:val="00BA0820"/>
    <w:rsid w:val="00BA188C"/>
    <w:rsid w:val="00BA5782"/>
    <w:rsid w:val="00BB3929"/>
    <w:rsid w:val="00BC3B2B"/>
    <w:rsid w:val="00BF288F"/>
    <w:rsid w:val="00BF6A11"/>
    <w:rsid w:val="00C24B98"/>
    <w:rsid w:val="00C267F4"/>
    <w:rsid w:val="00C32ED4"/>
    <w:rsid w:val="00C40872"/>
    <w:rsid w:val="00C42422"/>
    <w:rsid w:val="00C431BA"/>
    <w:rsid w:val="00C54631"/>
    <w:rsid w:val="00C6140D"/>
    <w:rsid w:val="00C6145F"/>
    <w:rsid w:val="00C708B5"/>
    <w:rsid w:val="00C724C4"/>
    <w:rsid w:val="00C73F5C"/>
    <w:rsid w:val="00C8205C"/>
    <w:rsid w:val="00C842A1"/>
    <w:rsid w:val="00C90210"/>
    <w:rsid w:val="00C930BD"/>
    <w:rsid w:val="00C977A9"/>
    <w:rsid w:val="00CA785F"/>
    <w:rsid w:val="00CC0376"/>
    <w:rsid w:val="00CD1890"/>
    <w:rsid w:val="00CD2162"/>
    <w:rsid w:val="00CF18E4"/>
    <w:rsid w:val="00CF4DA8"/>
    <w:rsid w:val="00CF4F4F"/>
    <w:rsid w:val="00CF6A8F"/>
    <w:rsid w:val="00D0172C"/>
    <w:rsid w:val="00D06F67"/>
    <w:rsid w:val="00D20D25"/>
    <w:rsid w:val="00D2114F"/>
    <w:rsid w:val="00D24A56"/>
    <w:rsid w:val="00D31F7C"/>
    <w:rsid w:val="00D4202B"/>
    <w:rsid w:val="00D44A7F"/>
    <w:rsid w:val="00D6398C"/>
    <w:rsid w:val="00D72276"/>
    <w:rsid w:val="00D94920"/>
    <w:rsid w:val="00D97068"/>
    <w:rsid w:val="00DA2F0B"/>
    <w:rsid w:val="00DA6671"/>
    <w:rsid w:val="00DD3A73"/>
    <w:rsid w:val="00DD7DFD"/>
    <w:rsid w:val="00DE2F2C"/>
    <w:rsid w:val="00DF366E"/>
    <w:rsid w:val="00E0029F"/>
    <w:rsid w:val="00E107F4"/>
    <w:rsid w:val="00E10F74"/>
    <w:rsid w:val="00E13948"/>
    <w:rsid w:val="00E23026"/>
    <w:rsid w:val="00E23D3D"/>
    <w:rsid w:val="00E2575A"/>
    <w:rsid w:val="00E3077D"/>
    <w:rsid w:val="00E5218A"/>
    <w:rsid w:val="00E60D33"/>
    <w:rsid w:val="00E66802"/>
    <w:rsid w:val="00E7008A"/>
    <w:rsid w:val="00E71B4E"/>
    <w:rsid w:val="00E776EE"/>
    <w:rsid w:val="00E96AC8"/>
    <w:rsid w:val="00EB2116"/>
    <w:rsid w:val="00EB25CB"/>
    <w:rsid w:val="00EB532F"/>
    <w:rsid w:val="00EC422A"/>
    <w:rsid w:val="00ED217B"/>
    <w:rsid w:val="00ED4865"/>
    <w:rsid w:val="00ED6721"/>
    <w:rsid w:val="00EE2F81"/>
    <w:rsid w:val="00EF0533"/>
    <w:rsid w:val="00EF4C27"/>
    <w:rsid w:val="00EF6D2E"/>
    <w:rsid w:val="00F02DE2"/>
    <w:rsid w:val="00F02E42"/>
    <w:rsid w:val="00F06E77"/>
    <w:rsid w:val="00F10C61"/>
    <w:rsid w:val="00F5692F"/>
    <w:rsid w:val="00F763B8"/>
    <w:rsid w:val="00F80564"/>
    <w:rsid w:val="00F977B3"/>
    <w:rsid w:val="00FB5ED4"/>
    <w:rsid w:val="00FB6AAC"/>
    <w:rsid w:val="00FB7EF5"/>
    <w:rsid w:val="00FE1B88"/>
    <w:rsid w:val="00FE6535"/>
    <w:rsid w:val="00FF3F72"/>
    <w:rsid w:val="00FF5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72FD"/>
  <w15:chartTrackingRefBased/>
  <w15:docId w15:val="{2631F70C-1876-42CF-B469-3F4AC9DF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E1"/>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45E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545E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C267F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E1"/>
    <w:rPr>
      <w:rFonts w:ascii="Arial" w:eastAsia="Times New Roman" w:hAnsi="Arial" w:cs="Arial"/>
      <w:b/>
      <w:bCs/>
      <w:kern w:val="32"/>
      <w:sz w:val="32"/>
      <w:szCs w:val="32"/>
    </w:rPr>
  </w:style>
  <w:style w:type="character" w:customStyle="1" w:styleId="Heading2Char">
    <w:name w:val="Heading 2 Char"/>
    <w:basedOn w:val="DefaultParagraphFont"/>
    <w:link w:val="Heading2"/>
    <w:rsid w:val="001545E1"/>
    <w:rPr>
      <w:rFonts w:ascii="Arial" w:eastAsia="Times New Roman" w:hAnsi="Arial" w:cs="Arial"/>
      <w:b/>
      <w:bCs/>
      <w:i/>
      <w:iCs/>
      <w:sz w:val="28"/>
      <w:szCs w:val="28"/>
    </w:rPr>
  </w:style>
  <w:style w:type="paragraph" w:styleId="NormalWeb">
    <w:name w:val="Normal (Web)"/>
    <w:basedOn w:val="Normal"/>
    <w:uiPriority w:val="99"/>
    <w:unhideWhenUsed/>
    <w:rsid w:val="001545E1"/>
    <w:pPr>
      <w:bidi w:val="0"/>
      <w:spacing w:before="100" w:beforeAutospacing="1" w:after="100" w:afterAutospacing="1"/>
    </w:pPr>
  </w:style>
  <w:style w:type="paragraph" w:styleId="FootnoteText">
    <w:name w:val="footnote text"/>
    <w:aliases w:val="Char,Char Char Char Char, Char, Char1, Char2, Char3, Char4, Char5, Char6,نص حاشية سفلية Char Char Char Char,نص حاشية سفلية Char Char Char ,نص حاشية سفلية Char Char Char,نص حاشية سفلية Char Char Char Char Char Char,نص حاشية سفلية Char Char"/>
    <w:basedOn w:val="Normal"/>
    <w:link w:val="FootnoteTextChar"/>
    <w:uiPriority w:val="99"/>
    <w:rsid w:val="001545E1"/>
    <w:rPr>
      <w:sz w:val="20"/>
      <w:szCs w:val="20"/>
    </w:rPr>
  </w:style>
  <w:style w:type="character" w:customStyle="1" w:styleId="FootnoteTextChar">
    <w:name w:val="Footnote Text Char"/>
    <w:aliases w:val="Char Char,Char Char Char Char Char, Char Char, Char1 Char, Char2 Char, Char3 Char, Char4 Char, Char5 Char, Char6 Char,نص حاشية سفلية Char Char Char Char Char,نص حاشية سفلية Char Char Char  Char,نص حاشية سفلية Char Char Char Char1"/>
    <w:basedOn w:val="DefaultParagraphFont"/>
    <w:link w:val="FootnoteText"/>
    <w:uiPriority w:val="99"/>
    <w:rsid w:val="001545E1"/>
    <w:rPr>
      <w:rFonts w:ascii="Times New Roman" w:eastAsia="Times New Roman" w:hAnsi="Times New Roman" w:cs="Times New Roman"/>
      <w:sz w:val="20"/>
      <w:szCs w:val="20"/>
    </w:rPr>
  </w:style>
  <w:style w:type="character" w:styleId="FootnoteReference">
    <w:name w:val="footnote reference"/>
    <w:basedOn w:val="DefaultParagraphFont"/>
    <w:rsid w:val="001545E1"/>
    <w:rPr>
      <w:vertAlign w:val="superscript"/>
    </w:rPr>
  </w:style>
  <w:style w:type="paragraph" w:styleId="ListParagraph">
    <w:name w:val="List Paragraph"/>
    <w:basedOn w:val="Normal"/>
    <w:uiPriority w:val="34"/>
    <w:qFormat/>
    <w:rsid w:val="001545E1"/>
    <w:pPr>
      <w:ind w:left="720"/>
      <w:contextualSpacing/>
    </w:pPr>
  </w:style>
  <w:style w:type="paragraph" w:styleId="NoSpacing">
    <w:name w:val="No Spacing"/>
    <w:uiPriority w:val="1"/>
    <w:qFormat/>
    <w:rsid w:val="001545E1"/>
    <w:pPr>
      <w:spacing w:after="0" w:line="240" w:lineRule="auto"/>
      <w:jc w:val="both"/>
    </w:pPr>
    <w:rPr>
      <w:rFonts w:ascii="Times New Roman" w:hAnsi="Times New Roman" w:cs="Simplified Arabic"/>
      <w:sz w:val="24"/>
      <w:szCs w:val="24"/>
    </w:rPr>
  </w:style>
  <w:style w:type="paragraph" w:styleId="Footer">
    <w:name w:val="footer"/>
    <w:aliases w:val="تذييل صفحة"/>
    <w:basedOn w:val="Normal"/>
    <w:link w:val="FooterChar"/>
    <w:uiPriority w:val="99"/>
    <w:unhideWhenUsed/>
    <w:rsid w:val="001545E1"/>
    <w:pPr>
      <w:tabs>
        <w:tab w:val="center" w:pos="4680"/>
        <w:tab w:val="right" w:pos="9360"/>
      </w:tabs>
      <w:bidi w:val="0"/>
      <w:jc w:val="both"/>
    </w:pPr>
    <w:rPr>
      <w:rFonts w:eastAsiaTheme="minorHAnsi" w:cs="Simplified Arabic"/>
    </w:rPr>
  </w:style>
  <w:style w:type="character" w:customStyle="1" w:styleId="FooterChar">
    <w:name w:val="Footer Char"/>
    <w:aliases w:val="تذييل صفحة Char"/>
    <w:basedOn w:val="DefaultParagraphFont"/>
    <w:link w:val="Footer"/>
    <w:uiPriority w:val="99"/>
    <w:rsid w:val="001545E1"/>
    <w:rPr>
      <w:rFonts w:ascii="Times New Roman" w:hAnsi="Times New Roman" w:cs="Simplified Arabic"/>
      <w:sz w:val="24"/>
      <w:szCs w:val="24"/>
    </w:rPr>
  </w:style>
  <w:style w:type="character" w:customStyle="1" w:styleId="apple-converted-space">
    <w:name w:val="apple-converted-space"/>
    <w:basedOn w:val="DefaultParagraphFont"/>
    <w:rsid w:val="001545E1"/>
  </w:style>
  <w:style w:type="paragraph" w:styleId="Header">
    <w:name w:val="header"/>
    <w:basedOn w:val="Normal"/>
    <w:link w:val="HeaderChar"/>
    <w:uiPriority w:val="99"/>
    <w:unhideWhenUsed/>
    <w:rsid w:val="001545E1"/>
    <w:pPr>
      <w:tabs>
        <w:tab w:val="center" w:pos="4680"/>
        <w:tab w:val="right" w:pos="9360"/>
      </w:tabs>
    </w:pPr>
  </w:style>
  <w:style w:type="character" w:customStyle="1" w:styleId="HeaderChar">
    <w:name w:val="Header Char"/>
    <w:basedOn w:val="DefaultParagraphFont"/>
    <w:link w:val="Header"/>
    <w:uiPriority w:val="99"/>
    <w:rsid w:val="001545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5E1"/>
    <w:rPr>
      <w:rFonts w:ascii="Tahoma" w:hAnsi="Tahoma" w:cs="Tahoma"/>
      <w:sz w:val="16"/>
      <w:szCs w:val="16"/>
    </w:rPr>
  </w:style>
  <w:style w:type="character" w:customStyle="1" w:styleId="BalloonTextChar">
    <w:name w:val="Balloon Text Char"/>
    <w:basedOn w:val="DefaultParagraphFont"/>
    <w:link w:val="BalloonText"/>
    <w:uiPriority w:val="99"/>
    <w:semiHidden/>
    <w:rsid w:val="001545E1"/>
    <w:rPr>
      <w:rFonts w:ascii="Tahoma" w:eastAsia="Times New Roman" w:hAnsi="Tahoma" w:cs="Tahoma"/>
      <w:sz w:val="16"/>
      <w:szCs w:val="16"/>
    </w:rPr>
  </w:style>
  <w:style w:type="paragraph" w:customStyle="1" w:styleId="ListParagraph1">
    <w:name w:val="List Paragraph1"/>
    <w:basedOn w:val="Normal"/>
    <w:link w:val="ListParagraphChar"/>
    <w:rsid w:val="001545E1"/>
    <w:pPr>
      <w:spacing w:after="200" w:line="276" w:lineRule="auto"/>
      <w:ind w:left="720"/>
    </w:pPr>
    <w:rPr>
      <w:rFonts w:ascii="Calibri" w:hAnsi="Calibri" w:cs="Arial"/>
      <w:sz w:val="22"/>
      <w:szCs w:val="22"/>
    </w:rPr>
  </w:style>
  <w:style w:type="character" w:customStyle="1" w:styleId="ListParagraphChar">
    <w:name w:val="List Paragraph Char"/>
    <w:link w:val="ListParagraph1"/>
    <w:uiPriority w:val="34"/>
    <w:locked/>
    <w:rsid w:val="001545E1"/>
    <w:rPr>
      <w:rFonts w:ascii="Calibri" w:eastAsia="Times New Roman" w:hAnsi="Calibri" w:cs="Arial"/>
    </w:rPr>
  </w:style>
  <w:style w:type="character" w:customStyle="1" w:styleId="Heading3Char">
    <w:name w:val="Heading 3 Char"/>
    <w:basedOn w:val="DefaultParagraphFont"/>
    <w:link w:val="Heading3"/>
    <w:uiPriority w:val="9"/>
    <w:semiHidden/>
    <w:rsid w:val="00C267F4"/>
    <w:rPr>
      <w:rFonts w:asciiTheme="majorHAnsi" w:eastAsiaTheme="majorEastAsia" w:hAnsiTheme="majorHAnsi" w:cstheme="majorBidi"/>
      <w:color w:val="1F4D78" w:themeColor="accent1" w:themeShade="7F"/>
      <w:sz w:val="24"/>
      <w:szCs w:val="24"/>
    </w:rPr>
  </w:style>
  <w:style w:type="character" w:customStyle="1" w:styleId="5yl5">
    <w:name w:val="_5yl5"/>
    <w:basedOn w:val="DefaultParagraphFont"/>
    <w:rsid w:val="00306B77"/>
  </w:style>
  <w:style w:type="table" w:styleId="TableGrid">
    <w:name w:val="Table Grid"/>
    <w:basedOn w:val="TableNormal"/>
    <w:uiPriority w:val="39"/>
    <w:rsid w:val="003E0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721"/>
    <w:rPr>
      <w:color w:val="0000FF"/>
      <w:u w:val="single"/>
    </w:rPr>
  </w:style>
  <w:style w:type="paragraph" w:styleId="Bibliography">
    <w:name w:val="Bibliography"/>
    <w:basedOn w:val="Normal"/>
    <w:next w:val="Normal"/>
    <w:uiPriority w:val="37"/>
    <w:unhideWhenUsed/>
    <w:rsid w:val="002F47B9"/>
  </w:style>
  <w:style w:type="character" w:customStyle="1" w:styleId="hps">
    <w:name w:val="hps"/>
    <w:basedOn w:val="DefaultParagraphFont"/>
    <w:rsid w:val="00E60D33"/>
  </w:style>
  <w:style w:type="paragraph" w:styleId="Title">
    <w:name w:val="Title"/>
    <w:basedOn w:val="Normal"/>
    <w:link w:val="TitleChar"/>
    <w:qFormat/>
    <w:rsid w:val="00B94AE3"/>
    <w:pPr>
      <w:widowControl w:val="0"/>
      <w:jc w:val="center"/>
    </w:pPr>
    <w:rPr>
      <w:rFonts w:cs="MS Serif"/>
      <w:snapToGrid w:val="0"/>
      <w:szCs w:val="28"/>
    </w:rPr>
  </w:style>
  <w:style w:type="character" w:customStyle="1" w:styleId="TitleChar">
    <w:name w:val="Title Char"/>
    <w:basedOn w:val="DefaultParagraphFont"/>
    <w:link w:val="Title"/>
    <w:rsid w:val="00B94AE3"/>
    <w:rPr>
      <w:rFonts w:ascii="Times New Roman" w:eastAsia="Times New Roman" w:hAnsi="Times New Roman" w:cs="MS Serif"/>
      <w:snapToGrid w:val="0"/>
      <w:sz w:val="24"/>
      <w:szCs w:val="28"/>
    </w:rPr>
  </w:style>
  <w:style w:type="paragraph" w:customStyle="1" w:styleId="footnotedescription">
    <w:name w:val="footnote description"/>
    <w:next w:val="Normal"/>
    <w:link w:val="footnotedescriptionChar"/>
    <w:hidden/>
    <w:rsid w:val="00167EA8"/>
    <w:pPr>
      <w:spacing w:after="0" w:line="245" w:lineRule="auto"/>
      <w:ind w:left="1" w:right="24" w:hanging="1"/>
      <w:jc w:val="both"/>
    </w:pPr>
    <w:rPr>
      <w:rFonts w:ascii="Traditional Arabic" w:eastAsia="Traditional Arabic" w:hAnsi="Traditional Arabic" w:cs="Traditional Arabic"/>
      <w:color w:val="000000"/>
      <w:sz w:val="28"/>
      <w:lang w:val="en-MY" w:eastAsia="en-MY"/>
    </w:rPr>
  </w:style>
  <w:style w:type="character" w:customStyle="1" w:styleId="footnotedescriptionChar">
    <w:name w:val="footnote description Char"/>
    <w:link w:val="footnotedescription"/>
    <w:rsid w:val="00167EA8"/>
    <w:rPr>
      <w:rFonts w:ascii="Traditional Arabic" w:eastAsia="Traditional Arabic" w:hAnsi="Traditional Arabic" w:cs="Traditional Arabic"/>
      <w:color w:val="000000"/>
      <w:sz w:val="28"/>
      <w:lang w:val="en-MY" w:eastAsia="en-MY"/>
    </w:rPr>
  </w:style>
  <w:style w:type="character" w:styleId="Strong">
    <w:name w:val="Strong"/>
    <w:basedOn w:val="DefaultParagraphFont"/>
    <w:uiPriority w:val="22"/>
    <w:qFormat/>
    <w:rsid w:val="00616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1689">
      <w:bodyDiv w:val="1"/>
      <w:marLeft w:val="0"/>
      <w:marRight w:val="0"/>
      <w:marTop w:val="0"/>
      <w:marBottom w:val="0"/>
      <w:divBdr>
        <w:top w:val="none" w:sz="0" w:space="0" w:color="auto"/>
        <w:left w:val="none" w:sz="0" w:space="0" w:color="auto"/>
        <w:bottom w:val="none" w:sz="0" w:space="0" w:color="auto"/>
        <w:right w:val="none" w:sz="0" w:space="0" w:color="auto"/>
      </w:divBdr>
      <w:divsChild>
        <w:div w:id="610821564">
          <w:marLeft w:val="0"/>
          <w:marRight w:val="0"/>
          <w:marTop w:val="0"/>
          <w:marBottom w:val="0"/>
          <w:divBdr>
            <w:top w:val="none" w:sz="0" w:space="0" w:color="auto"/>
            <w:left w:val="none" w:sz="0" w:space="0" w:color="auto"/>
            <w:bottom w:val="none" w:sz="0" w:space="0" w:color="auto"/>
            <w:right w:val="none" w:sz="0" w:space="0" w:color="auto"/>
          </w:divBdr>
        </w:div>
      </w:divsChild>
    </w:div>
    <w:div w:id="239756590">
      <w:bodyDiv w:val="1"/>
      <w:marLeft w:val="0"/>
      <w:marRight w:val="0"/>
      <w:marTop w:val="0"/>
      <w:marBottom w:val="0"/>
      <w:divBdr>
        <w:top w:val="none" w:sz="0" w:space="0" w:color="auto"/>
        <w:left w:val="none" w:sz="0" w:space="0" w:color="auto"/>
        <w:bottom w:val="none" w:sz="0" w:space="0" w:color="auto"/>
        <w:right w:val="none" w:sz="0" w:space="0" w:color="auto"/>
      </w:divBdr>
    </w:div>
    <w:div w:id="1002583976">
      <w:bodyDiv w:val="1"/>
      <w:marLeft w:val="0"/>
      <w:marRight w:val="0"/>
      <w:marTop w:val="0"/>
      <w:marBottom w:val="0"/>
      <w:divBdr>
        <w:top w:val="none" w:sz="0" w:space="0" w:color="auto"/>
        <w:left w:val="none" w:sz="0" w:space="0" w:color="auto"/>
        <w:bottom w:val="none" w:sz="0" w:space="0" w:color="auto"/>
        <w:right w:val="none" w:sz="0" w:space="0" w:color="auto"/>
      </w:divBdr>
      <w:divsChild>
        <w:div w:id="222252729">
          <w:marLeft w:val="0"/>
          <w:marRight w:val="0"/>
          <w:marTop w:val="0"/>
          <w:marBottom w:val="0"/>
          <w:divBdr>
            <w:top w:val="none" w:sz="0" w:space="0" w:color="auto"/>
            <w:left w:val="none" w:sz="0" w:space="0" w:color="auto"/>
            <w:bottom w:val="none" w:sz="0" w:space="0" w:color="auto"/>
            <w:right w:val="none" w:sz="0" w:space="0" w:color="auto"/>
          </w:divBdr>
          <w:divsChild>
            <w:div w:id="15450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62072">
      <w:bodyDiv w:val="1"/>
      <w:marLeft w:val="0"/>
      <w:marRight w:val="0"/>
      <w:marTop w:val="0"/>
      <w:marBottom w:val="0"/>
      <w:divBdr>
        <w:top w:val="none" w:sz="0" w:space="0" w:color="auto"/>
        <w:left w:val="none" w:sz="0" w:space="0" w:color="auto"/>
        <w:bottom w:val="none" w:sz="0" w:space="0" w:color="auto"/>
        <w:right w:val="none" w:sz="0" w:space="0" w:color="auto"/>
      </w:divBdr>
      <w:divsChild>
        <w:div w:id="1976788931">
          <w:marLeft w:val="0"/>
          <w:marRight w:val="0"/>
          <w:marTop w:val="0"/>
          <w:marBottom w:val="0"/>
          <w:divBdr>
            <w:top w:val="none" w:sz="0" w:space="0" w:color="auto"/>
            <w:left w:val="none" w:sz="0" w:space="0" w:color="auto"/>
            <w:bottom w:val="none" w:sz="0" w:space="0" w:color="auto"/>
            <w:right w:val="none" w:sz="0" w:space="0" w:color="auto"/>
          </w:divBdr>
          <w:divsChild>
            <w:div w:id="1629970592">
              <w:marLeft w:val="0"/>
              <w:marRight w:val="0"/>
              <w:marTop w:val="0"/>
              <w:marBottom w:val="0"/>
              <w:divBdr>
                <w:top w:val="none" w:sz="0" w:space="0" w:color="auto"/>
                <w:left w:val="none" w:sz="0" w:space="0" w:color="auto"/>
                <w:bottom w:val="none" w:sz="0" w:space="0" w:color="auto"/>
                <w:right w:val="none" w:sz="0" w:space="0" w:color="auto"/>
              </w:divBdr>
              <w:divsChild>
                <w:div w:id="466171497">
                  <w:marLeft w:val="0"/>
                  <w:marRight w:val="0"/>
                  <w:marTop w:val="0"/>
                  <w:marBottom w:val="0"/>
                  <w:divBdr>
                    <w:top w:val="none" w:sz="0" w:space="0" w:color="auto"/>
                    <w:left w:val="none" w:sz="0" w:space="0" w:color="auto"/>
                    <w:bottom w:val="none" w:sz="0" w:space="0" w:color="auto"/>
                    <w:right w:val="none" w:sz="0" w:space="0" w:color="auto"/>
                  </w:divBdr>
                  <w:divsChild>
                    <w:div w:id="146287970">
                      <w:marLeft w:val="0"/>
                      <w:marRight w:val="0"/>
                      <w:marTop w:val="0"/>
                      <w:marBottom w:val="0"/>
                      <w:divBdr>
                        <w:top w:val="none" w:sz="0" w:space="0" w:color="auto"/>
                        <w:left w:val="none" w:sz="0" w:space="0" w:color="auto"/>
                        <w:bottom w:val="none" w:sz="0" w:space="0" w:color="auto"/>
                        <w:right w:val="none" w:sz="0" w:space="0" w:color="auto"/>
                      </w:divBdr>
                      <w:divsChild>
                        <w:div w:id="20948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069676">
      <w:bodyDiv w:val="1"/>
      <w:marLeft w:val="0"/>
      <w:marRight w:val="0"/>
      <w:marTop w:val="0"/>
      <w:marBottom w:val="0"/>
      <w:divBdr>
        <w:top w:val="none" w:sz="0" w:space="0" w:color="auto"/>
        <w:left w:val="none" w:sz="0" w:space="0" w:color="auto"/>
        <w:bottom w:val="none" w:sz="0" w:space="0" w:color="auto"/>
        <w:right w:val="none" w:sz="0" w:space="0" w:color="auto"/>
      </w:divBdr>
      <w:divsChild>
        <w:div w:id="43986416">
          <w:marLeft w:val="0"/>
          <w:marRight w:val="0"/>
          <w:marTop w:val="0"/>
          <w:marBottom w:val="0"/>
          <w:divBdr>
            <w:top w:val="none" w:sz="0" w:space="0" w:color="auto"/>
            <w:left w:val="none" w:sz="0" w:space="0" w:color="auto"/>
            <w:bottom w:val="none" w:sz="0" w:space="0" w:color="auto"/>
            <w:right w:val="none" w:sz="0" w:space="0" w:color="auto"/>
          </w:divBdr>
          <w:divsChild>
            <w:div w:id="1126891817">
              <w:marLeft w:val="0"/>
              <w:marRight w:val="0"/>
              <w:marTop w:val="0"/>
              <w:marBottom w:val="0"/>
              <w:divBdr>
                <w:top w:val="none" w:sz="0" w:space="0" w:color="auto"/>
                <w:left w:val="none" w:sz="0" w:space="0" w:color="auto"/>
                <w:bottom w:val="none" w:sz="0" w:space="0" w:color="auto"/>
                <w:right w:val="none" w:sz="0" w:space="0" w:color="auto"/>
              </w:divBdr>
              <w:divsChild>
                <w:div w:id="1178420431">
                  <w:marLeft w:val="0"/>
                  <w:marRight w:val="0"/>
                  <w:marTop w:val="0"/>
                  <w:marBottom w:val="0"/>
                  <w:divBdr>
                    <w:top w:val="none" w:sz="0" w:space="0" w:color="auto"/>
                    <w:left w:val="none" w:sz="0" w:space="0" w:color="auto"/>
                    <w:bottom w:val="none" w:sz="0" w:space="0" w:color="auto"/>
                    <w:right w:val="none" w:sz="0" w:space="0" w:color="auto"/>
                  </w:divBdr>
                  <w:divsChild>
                    <w:div w:id="1600530463">
                      <w:marLeft w:val="0"/>
                      <w:marRight w:val="0"/>
                      <w:marTop w:val="0"/>
                      <w:marBottom w:val="0"/>
                      <w:divBdr>
                        <w:top w:val="none" w:sz="0" w:space="0" w:color="auto"/>
                        <w:left w:val="none" w:sz="0" w:space="0" w:color="auto"/>
                        <w:bottom w:val="none" w:sz="0" w:space="0" w:color="auto"/>
                        <w:right w:val="none" w:sz="0" w:space="0" w:color="auto"/>
                      </w:divBdr>
                      <w:divsChild>
                        <w:div w:id="17301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20061">
      <w:bodyDiv w:val="1"/>
      <w:marLeft w:val="0"/>
      <w:marRight w:val="0"/>
      <w:marTop w:val="0"/>
      <w:marBottom w:val="0"/>
      <w:divBdr>
        <w:top w:val="none" w:sz="0" w:space="0" w:color="auto"/>
        <w:left w:val="none" w:sz="0" w:space="0" w:color="auto"/>
        <w:bottom w:val="none" w:sz="0" w:space="0" w:color="auto"/>
        <w:right w:val="none" w:sz="0" w:space="0" w:color="auto"/>
      </w:divBdr>
      <w:divsChild>
        <w:div w:id="1383098051">
          <w:marLeft w:val="0"/>
          <w:marRight w:val="0"/>
          <w:marTop w:val="0"/>
          <w:marBottom w:val="0"/>
          <w:divBdr>
            <w:top w:val="none" w:sz="0" w:space="0" w:color="auto"/>
            <w:left w:val="none" w:sz="0" w:space="0" w:color="auto"/>
            <w:bottom w:val="none" w:sz="0" w:space="0" w:color="auto"/>
            <w:right w:val="none" w:sz="0" w:space="0" w:color="auto"/>
          </w:divBdr>
          <w:divsChild>
            <w:div w:id="1768034924">
              <w:marLeft w:val="0"/>
              <w:marRight w:val="0"/>
              <w:marTop w:val="0"/>
              <w:marBottom w:val="0"/>
              <w:divBdr>
                <w:top w:val="none" w:sz="0" w:space="0" w:color="auto"/>
                <w:left w:val="none" w:sz="0" w:space="0" w:color="auto"/>
                <w:bottom w:val="none" w:sz="0" w:space="0" w:color="auto"/>
                <w:right w:val="none" w:sz="0" w:space="0" w:color="auto"/>
              </w:divBdr>
              <w:divsChild>
                <w:div w:id="957298271">
                  <w:marLeft w:val="0"/>
                  <w:marRight w:val="0"/>
                  <w:marTop w:val="0"/>
                  <w:marBottom w:val="0"/>
                  <w:divBdr>
                    <w:top w:val="none" w:sz="0" w:space="0" w:color="auto"/>
                    <w:left w:val="none" w:sz="0" w:space="0" w:color="auto"/>
                    <w:bottom w:val="none" w:sz="0" w:space="0" w:color="auto"/>
                    <w:right w:val="none" w:sz="0" w:space="0" w:color="auto"/>
                  </w:divBdr>
                  <w:divsChild>
                    <w:div w:id="2007317813">
                      <w:marLeft w:val="0"/>
                      <w:marRight w:val="0"/>
                      <w:marTop w:val="0"/>
                      <w:marBottom w:val="0"/>
                      <w:divBdr>
                        <w:top w:val="none" w:sz="0" w:space="0" w:color="auto"/>
                        <w:left w:val="none" w:sz="0" w:space="0" w:color="auto"/>
                        <w:bottom w:val="none" w:sz="0" w:space="0" w:color="auto"/>
                        <w:right w:val="none" w:sz="0" w:space="0" w:color="auto"/>
                      </w:divBdr>
                      <w:divsChild>
                        <w:div w:id="11977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30</Pages>
  <Words>7003</Words>
  <Characters>40764</Characters>
  <Application>Microsoft Office Word</Application>
  <DocSecurity>0</DocSecurity>
  <Lines>994</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Ibrahim Eldeeb</cp:lastModifiedBy>
  <cp:revision>5</cp:revision>
  <cp:lastPrinted>2023-06-18T13:07:00Z</cp:lastPrinted>
  <dcterms:created xsi:type="dcterms:W3CDTF">2021-02-17T07:59:00Z</dcterms:created>
  <dcterms:modified xsi:type="dcterms:W3CDTF">2023-06-18T14:49:00Z</dcterms:modified>
</cp:coreProperties>
</file>